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BED77" w14:textId="4CB9AF39" w:rsidR="00CF7386" w:rsidRPr="00533313" w:rsidRDefault="00B966EE" w:rsidP="00533313">
      <w:pPr>
        <w:pStyle w:val="Title"/>
        <w:jc w:val="center"/>
        <w:rPr>
          <w:sz w:val="96"/>
          <w:szCs w:val="96"/>
        </w:rPr>
      </w:pPr>
      <w:r w:rsidRPr="00533313">
        <w:rPr>
          <w:sz w:val="96"/>
          <w:szCs w:val="96"/>
        </w:rPr>
        <w:t>An analysis of SUSI grant awardees among New Entrants to Higher Education, and their non-progression outcomes</w:t>
      </w:r>
      <w:r w:rsidR="00350DD6">
        <w:rPr>
          <w:sz w:val="96"/>
          <w:szCs w:val="96"/>
        </w:rPr>
        <w:t xml:space="preserve"> 2017/18 to 2021/22</w:t>
      </w:r>
    </w:p>
    <w:p w14:paraId="6B8EEEA5" w14:textId="77777777" w:rsidR="00533313" w:rsidRDefault="00533313" w:rsidP="00533313"/>
    <w:p w14:paraId="17E54025" w14:textId="77777777" w:rsidR="00533313" w:rsidRDefault="00533313" w:rsidP="00533313"/>
    <w:p w14:paraId="6C1B0E52" w14:textId="59A5FF9C" w:rsidR="00533313" w:rsidRDefault="00BB4395" w:rsidP="00533313">
      <w:r>
        <w:t>Statistics Unit</w:t>
      </w:r>
    </w:p>
    <w:p w14:paraId="6943FC0A" w14:textId="1775F66E" w:rsidR="00533313" w:rsidRDefault="00533313" w:rsidP="00533313">
      <w:r>
        <w:t>Higher Education Authority</w:t>
      </w:r>
    </w:p>
    <w:p w14:paraId="556F590C" w14:textId="4DCAF257" w:rsidR="00533313" w:rsidRDefault="001052E6" w:rsidP="00533313">
      <w:r>
        <w:t>September</w:t>
      </w:r>
      <w:r w:rsidR="00533313">
        <w:t xml:space="preserve"> 2024</w:t>
      </w:r>
    </w:p>
    <w:p w14:paraId="7FB591A3" w14:textId="77777777" w:rsidR="00533313" w:rsidRDefault="00533313" w:rsidP="00533313"/>
    <w:p w14:paraId="052EFBD4" w14:textId="77777777" w:rsidR="00533313" w:rsidRDefault="00533313" w:rsidP="00533313"/>
    <w:p w14:paraId="19D6639F" w14:textId="77777777" w:rsidR="00533313" w:rsidRDefault="00533313" w:rsidP="00533313"/>
    <w:p w14:paraId="527928B1" w14:textId="77777777" w:rsidR="00533313" w:rsidRDefault="00533313" w:rsidP="00533313"/>
    <w:p w14:paraId="5CCCB8CD" w14:textId="77777777" w:rsidR="00533313" w:rsidRDefault="00533313" w:rsidP="00533313"/>
    <w:p w14:paraId="3A724DA2" w14:textId="77777777" w:rsidR="00533313" w:rsidRDefault="00533313" w:rsidP="00533313"/>
    <w:p w14:paraId="30975408" w14:textId="77777777" w:rsidR="00533313" w:rsidRDefault="00533313" w:rsidP="00533313"/>
    <w:p w14:paraId="0D9966D3" w14:textId="77777777" w:rsidR="00533313" w:rsidRDefault="00533313" w:rsidP="00533313"/>
    <w:p w14:paraId="207DBF18" w14:textId="3C6318CF" w:rsidR="00533313" w:rsidRDefault="00533313" w:rsidP="00533313">
      <w:pPr>
        <w:pStyle w:val="Heading2"/>
      </w:pPr>
      <w:r>
        <w:lastRenderedPageBreak/>
        <w:t xml:space="preserve">Key </w:t>
      </w:r>
      <w:r w:rsidR="00D102C8">
        <w:t>findings</w:t>
      </w:r>
    </w:p>
    <w:p w14:paraId="32B0C087" w14:textId="13ADCA89" w:rsidR="00533313" w:rsidRDefault="00533313" w:rsidP="00533313">
      <w:pPr>
        <w:pStyle w:val="ListParagraph"/>
        <w:numPr>
          <w:ilvl w:val="0"/>
          <w:numId w:val="2"/>
        </w:numPr>
      </w:pPr>
      <w:r>
        <w:t>The number of New Entrants awarded a SUSI grant declined between 2017/18 and 2021/22, while the total number of New Entrants increased over the same period.</w:t>
      </w:r>
    </w:p>
    <w:p w14:paraId="6A83870A" w14:textId="77777777" w:rsidR="00533313" w:rsidRDefault="00533313" w:rsidP="00533313">
      <w:pPr>
        <w:pStyle w:val="ListParagraph"/>
      </w:pPr>
    </w:p>
    <w:p w14:paraId="5EC21190" w14:textId="3215C6BA" w:rsidR="00533313" w:rsidRDefault="00533313" w:rsidP="00533313">
      <w:pPr>
        <w:pStyle w:val="ListParagraph"/>
        <w:numPr>
          <w:ilvl w:val="0"/>
          <w:numId w:val="2"/>
        </w:numPr>
      </w:pPr>
      <w:r>
        <w:t>Compared to those not receiving an award, a higher proportion of SUSI awardees were female, aged 23 years and older, attended technological universities, and whose parent</w:t>
      </w:r>
      <w:r w:rsidR="00820F1B">
        <w:t xml:space="preserve">al </w:t>
      </w:r>
      <w:r>
        <w:t>home was in a deprived area.</w:t>
      </w:r>
    </w:p>
    <w:p w14:paraId="6C0F04A7" w14:textId="77777777" w:rsidR="00533313" w:rsidRDefault="00533313" w:rsidP="00533313">
      <w:pPr>
        <w:pStyle w:val="ListParagraph"/>
      </w:pPr>
    </w:p>
    <w:p w14:paraId="35C1EF88" w14:textId="36337404" w:rsidR="00533313" w:rsidRDefault="00533313" w:rsidP="00533313">
      <w:pPr>
        <w:pStyle w:val="ListParagraph"/>
        <w:numPr>
          <w:ilvl w:val="0"/>
          <w:numId w:val="2"/>
        </w:numPr>
      </w:pPr>
      <w:r>
        <w:t>For New Entrants in the 2021/22 year, SUSI awardees had a non-progression rate of 19.1% compared to 13.6% among those not awarded a SUSI grant. Th</w:t>
      </w:r>
      <w:r w:rsidR="00350DD6">
        <w:t>e</w:t>
      </w:r>
      <w:r w:rsidR="00820F1B">
        <w:t xml:space="preserve"> relative</w:t>
      </w:r>
      <w:r w:rsidR="00350DD6">
        <w:t xml:space="preserve"> proportion</w:t>
      </w:r>
      <w:r w:rsidR="00820F1B">
        <w:t>al</w:t>
      </w:r>
      <w:r w:rsidR="00350DD6">
        <w:t xml:space="preserve"> </w:t>
      </w:r>
      <w:r>
        <w:t xml:space="preserve">difference in the rate </w:t>
      </w:r>
      <w:r w:rsidR="00350DD6">
        <w:t xml:space="preserve">of non-progression </w:t>
      </w:r>
      <w:r w:rsidR="008D2CAC">
        <w:t>was</w:t>
      </w:r>
      <w:r w:rsidR="00350DD6">
        <w:t xml:space="preserve"> observed i</w:t>
      </w:r>
      <w:r w:rsidR="008D2CAC">
        <w:t>n</w:t>
      </w:r>
      <w:r w:rsidR="00350DD6">
        <w:t xml:space="preserve"> each of the earl</w:t>
      </w:r>
      <w:r w:rsidR="00820F1B">
        <w:t>ier</w:t>
      </w:r>
      <w:r w:rsidR="00350DD6">
        <w:t xml:space="preserve"> years also, notwithstanding considerable fluctuations in the </w:t>
      </w:r>
      <w:r w:rsidR="00D102C8">
        <w:t>overall</w:t>
      </w:r>
      <w:r w:rsidR="00350DD6">
        <w:t xml:space="preserve"> non-progression rate in the period.</w:t>
      </w:r>
    </w:p>
    <w:p w14:paraId="2D17AD03" w14:textId="77777777" w:rsidR="00350DD6" w:rsidRDefault="00350DD6" w:rsidP="00350DD6">
      <w:pPr>
        <w:pStyle w:val="ListParagraph"/>
      </w:pPr>
    </w:p>
    <w:p w14:paraId="7E94CA09" w14:textId="5A7483D6" w:rsidR="00350DD6" w:rsidRDefault="00D102C8" w:rsidP="00533313">
      <w:pPr>
        <w:pStyle w:val="ListParagraph"/>
        <w:numPr>
          <w:ilvl w:val="0"/>
          <w:numId w:val="2"/>
        </w:numPr>
      </w:pPr>
      <w:r>
        <w:t xml:space="preserve">In a more detailed analysis of the </w:t>
      </w:r>
      <w:r w:rsidR="00350DD6">
        <w:t xml:space="preserve"> 2021/22 year</w:t>
      </w:r>
      <w:r>
        <w:t>, t</w:t>
      </w:r>
      <w:r w:rsidR="008D2CAC">
        <w:t xml:space="preserve">hose </w:t>
      </w:r>
      <w:r>
        <w:t>awarded</w:t>
      </w:r>
      <w:r w:rsidR="008D2CAC">
        <w:t xml:space="preserve"> a SUSI grant had </w:t>
      </w:r>
      <w:r w:rsidR="00652C2D">
        <w:t xml:space="preserve">a </w:t>
      </w:r>
      <w:r w:rsidR="008D2CAC">
        <w:t>50% higher odds of non-progression</w:t>
      </w:r>
      <w:r>
        <w:t xml:space="preserve"> before considering other factors. After adjusting for a detailed set of socio-demographic, higher education, background schooling and academic performance indicators, those awarded a grant had</w:t>
      </w:r>
      <w:r w:rsidR="00652C2D">
        <w:t xml:space="preserve"> an 8% higher odds </w:t>
      </w:r>
      <w:r>
        <w:t xml:space="preserve">of non-progression compared to those who were not. </w:t>
      </w:r>
    </w:p>
    <w:p w14:paraId="215DC08E" w14:textId="77777777" w:rsidR="00820F1B" w:rsidRDefault="00820F1B" w:rsidP="00820F1B">
      <w:pPr>
        <w:pStyle w:val="ListParagraph"/>
      </w:pPr>
    </w:p>
    <w:p w14:paraId="1253512C" w14:textId="39DF3AB3" w:rsidR="00820F1B" w:rsidRDefault="00820F1B" w:rsidP="00533313">
      <w:pPr>
        <w:pStyle w:val="ListParagraph"/>
        <w:numPr>
          <w:ilvl w:val="0"/>
          <w:numId w:val="2"/>
        </w:numPr>
      </w:pPr>
      <w:r>
        <w:t>Among those who were awarded a SUSI grant, those with an adjacent award tended to have a higher rate of non-progression than those with a non-adjacent award. However, the difference between these two groups has declined in more recent years.</w:t>
      </w:r>
    </w:p>
    <w:p w14:paraId="544D334C" w14:textId="77777777" w:rsidR="00820F1B" w:rsidRDefault="00820F1B" w:rsidP="00820F1B">
      <w:pPr>
        <w:pStyle w:val="ListParagraph"/>
      </w:pPr>
    </w:p>
    <w:p w14:paraId="5E25341D" w14:textId="79076176" w:rsidR="00820F1B" w:rsidRDefault="00820F1B" w:rsidP="00533313">
      <w:pPr>
        <w:pStyle w:val="ListParagraph"/>
        <w:numPr>
          <w:ilvl w:val="0"/>
          <w:numId w:val="2"/>
        </w:numPr>
      </w:pPr>
      <w:r>
        <w:t xml:space="preserve">Among those awarded a SUSI grant, </w:t>
      </w:r>
      <w:r w:rsidR="00B903B3">
        <w:t xml:space="preserve">for each category of higher qualifying income, students </w:t>
      </w:r>
      <w:r w:rsidR="00DD1B85">
        <w:t>had</w:t>
      </w:r>
      <w:r w:rsidR="00B903B3">
        <w:t xml:space="preserve"> a lower rate of non-progression. In 2021/22, those in the lowest qualifying income group (below €24,500) had a rate of non-progression of 22.3%, while those in </w:t>
      </w:r>
      <w:r w:rsidR="00652C2D">
        <w:t xml:space="preserve">the </w:t>
      </w:r>
      <w:r w:rsidR="00B903B3">
        <w:t>highest qualifying income group (</w:t>
      </w:r>
      <w:r w:rsidR="008D2CAC">
        <w:t>€39,875-€54,240) had a rate of 16.6%. The proportional difference in non-progression between the groups was relatively stable over time.</w:t>
      </w:r>
    </w:p>
    <w:p w14:paraId="6A192F1E" w14:textId="77777777" w:rsidR="00533313" w:rsidRDefault="00533313" w:rsidP="00533313"/>
    <w:p w14:paraId="7AB13B4F" w14:textId="77777777" w:rsidR="00533313" w:rsidRDefault="00533313" w:rsidP="00533313"/>
    <w:p w14:paraId="57926AF0" w14:textId="77777777" w:rsidR="00533313" w:rsidRDefault="00533313" w:rsidP="00533313"/>
    <w:p w14:paraId="2BBEFCF1" w14:textId="77777777" w:rsidR="00533313" w:rsidRDefault="00533313" w:rsidP="00533313"/>
    <w:p w14:paraId="18765FB7" w14:textId="77777777" w:rsidR="00533313" w:rsidRDefault="00533313" w:rsidP="00533313"/>
    <w:p w14:paraId="6BCDB07F" w14:textId="77777777" w:rsidR="00533313" w:rsidRDefault="00533313" w:rsidP="00533313"/>
    <w:p w14:paraId="02626123" w14:textId="77777777" w:rsidR="00533313" w:rsidRDefault="00533313" w:rsidP="00533313"/>
    <w:p w14:paraId="7B828F69" w14:textId="77777777" w:rsidR="00533313" w:rsidRDefault="00533313" w:rsidP="00533313"/>
    <w:p w14:paraId="45068C69" w14:textId="77777777" w:rsidR="00533313" w:rsidRDefault="00533313" w:rsidP="00533313"/>
    <w:p w14:paraId="2BB19F0F" w14:textId="77777777" w:rsidR="00533313" w:rsidRPr="00533313" w:rsidRDefault="00533313" w:rsidP="00533313"/>
    <w:p w14:paraId="3137F3E0" w14:textId="77777777" w:rsidR="00B966EE" w:rsidRPr="00FF062A" w:rsidRDefault="00B966EE" w:rsidP="00B966EE"/>
    <w:p w14:paraId="1656F6F3" w14:textId="5F1AFA9D" w:rsidR="00536C6A" w:rsidRPr="00FF062A" w:rsidRDefault="00536C6A" w:rsidP="002931E5">
      <w:pPr>
        <w:pStyle w:val="Heading2"/>
      </w:pPr>
      <w:r w:rsidRPr="00FF062A">
        <w:lastRenderedPageBreak/>
        <w:t xml:space="preserve">Introduction </w:t>
      </w:r>
    </w:p>
    <w:p w14:paraId="1AB8947E" w14:textId="510974DF" w:rsidR="00536C6A" w:rsidRPr="00FF062A" w:rsidRDefault="00E65CCE" w:rsidP="00B966EE">
      <w:r w:rsidRPr="00FF062A">
        <w:t xml:space="preserve">Non-progression </w:t>
      </w:r>
      <w:r w:rsidR="009F2172" w:rsidRPr="00FF062A">
        <w:t>describes</w:t>
      </w:r>
      <w:r w:rsidRPr="00FF062A">
        <w:t xml:space="preserve"> whether New Entrants to Higher Education in Ireland re-enrol at their institution in their second year and is an important measure for capturing early outcomes for </w:t>
      </w:r>
      <w:r w:rsidR="00DD1B85" w:rsidRPr="00FF062A">
        <w:t xml:space="preserve">Higher Education </w:t>
      </w:r>
      <w:r w:rsidRPr="00FF062A">
        <w:t>students. The HEA has published extensive and detailed analysis of non-progression for many years and has recently published analysis for the latest year available, students beginning their H</w:t>
      </w:r>
      <w:r w:rsidR="009F2172" w:rsidRPr="00FF062A">
        <w:t xml:space="preserve">igher </w:t>
      </w:r>
      <w:r w:rsidRPr="00FF062A">
        <w:t>E</w:t>
      </w:r>
      <w:r w:rsidR="009F2172" w:rsidRPr="00FF062A">
        <w:t>ducation</w:t>
      </w:r>
      <w:r w:rsidRPr="00FF062A">
        <w:t xml:space="preserve"> journey in the 2021/22 year</w:t>
      </w:r>
      <w:r w:rsidR="00DD1B85">
        <w:rPr>
          <w:rStyle w:val="FootnoteReference"/>
        </w:rPr>
        <w:footnoteReference w:id="1"/>
      </w:r>
      <w:r w:rsidRPr="00FF062A">
        <w:t xml:space="preserve">. </w:t>
      </w:r>
    </w:p>
    <w:p w14:paraId="706D4CCB" w14:textId="49728E9F" w:rsidR="007D4826" w:rsidRPr="00FF062A" w:rsidRDefault="00E65CCE" w:rsidP="00B966EE">
      <w:r w:rsidRPr="00FF062A">
        <w:t>Th</w:t>
      </w:r>
      <w:r w:rsidR="009F2172" w:rsidRPr="00FF062A">
        <w:t>is</w:t>
      </w:r>
      <w:r w:rsidRPr="00FF062A">
        <w:t xml:space="preserve"> report examines non-progression outcomes among </w:t>
      </w:r>
      <w:r w:rsidR="009F2172" w:rsidRPr="00FF062A">
        <w:t>New Entrants</w:t>
      </w:r>
      <w:r w:rsidRPr="00FF062A">
        <w:t xml:space="preserve"> who were awarded a SUSI grant and compares </w:t>
      </w:r>
      <w:r w:rsidR="00DD1B85">
        <w:t>those</w:t>
      </w:r>
      <w:r w:rsidRPr="00FF062A">
        <w:t xml:space="preserve"> to </w:t>
      </w:r>
      <w:r w:rsidR="009F2172" w:rsidRPr="00FF062A">
        <w:t>New Entrants</w:t>
      </w:r>
      <w:r w:rsidRPr="00FF062A">
        <w:t xml:space="preserve"> who did not receive a SUSI grant. There are three sections to the analysis</w:t>
      </w:r>
      <w:r w:rsidR="003A2739">
        <w:t>. In the first section</w:t>
      </w:r>
      <w:r w:rsidR="003A2739" w:rsidRPr="00FF062A">
        <w:t>,</w:t>
      </w:r>
      <w:r w:rsidRPr="00FF062A">
        <w:t xml:space="preserve"> we describe the sample</w:t>
      </w:r>
      <w:r w:rsidR="009F2172" w:rsidRPr="00FF062A">
        <w:t xml:space="preserve"> </w:t>
      </w:r>
      <w:r w:rsidR="00E962BD">
        <w:t>through</w:t>
      </w:r>
      <w:r w:rsidR="009F2172" w:rsidRPr="00FF062A">
        <w:t xml:space="preserve"> frequencies and proportions</w:t>
      </w:r>
      <w:r w:rsidRPr="00FF062A">
        <w:t xml:space="preserve">, showing differences </w:t>
      </w:r>
      <w:r w:rsidR="003C2B79" w:rsidRPr="00FF062A">
        <w:t xml:space="preserve">between the </w:t>
      </w:r>
      <w:r w:rsidR="009F2172" w:rsidRPr="00FF062A">
        <w:t xml:space="preserve">two </w:t>
      </w:r>
      <w:r w:rsidR="003C2B79" w:rsidRPr="00FF062A">
        <w:t xml:space="preserve">groups in factors related to their </w:t>
      </w:r>
      <w:proofErr w:type="spellStart"/>
      <w:r w:rsidR="003C2B79" w:rsidRPr="00FF062A">
        <w:t>sociodemography</w:t>
      </w:r>
      <w:proofErr w:type="spellEnd"/>
      <w:r w:rsidRPr="00FF062A">
        <w:t xml:space="preserve">, </w:t>
      </w:r>
      <w:r w:rsidR="003C2B79" w:rsidRPr="00FF062A">
        <w:t xml:space="preserve">their Higher Education choices and circumstances, and their background schooling including Leaving Certificate points attainment. We </w:t>
      </w:r>
      <w:r w:rsidR="009F2172" w:rsidRPr="00FF062A">
        <w:t>summarise the</w:t>
      </w:r>
      <w:r w:rsidR="003C2B79" w:rsidRPr="00FF062A">
        <w:t xml:space="preserve"> five-year </w:t>
      </w:r>
      <w:r w:rsidR="009F2172" w:rsidRPr="00FF062A">
        <w:t>trend and provide a more detailed description of the latest cohort, 2021/22 New Entrants</w:t>
      </w:r>
      <w:r w:rsidR="003C2B79" w:rsidRPr="00FF062A">
        <w:t xml:space="preserve">. Differences in these </w:t>
      </w:r>
      <w:r w:rsidR="009F2172" w:rsidRPr="00FF062A">
        <w:t>characteristics</w:t>
      </w:r>
      <w:r w:rsidR="003C2B79" w:rsidRPr="00FF062A">
        <w:t xml:space="preserve"> </w:t>
      </w:r>
      <w:r w:rsidR="009F2172" w:rsidRPr="00FF062A">
        <w:t xml:space="preserve">between </w:t>
      </w:r>
      <w:r w:rsidR="00DD1B85">
        <w:t>the groups</w:t>
      </w:r>
      <w:r w:rsidR="009F2172" w:rsidRPr="00FF062A">
        <w:t xml:space="preserve"> provide</w:t>
      </w:r>
      <w:r w:rsidR="00DD1B85">
        <w:t>s</w:t>
      </w:r>
      <w:r w:rsidR="009F2172" w:rsidRPr="00FF062A">
        <w:t xml:space="preserve"> guidance for </w:t>
      </w:r>
      <w:r w:rsidR="003C2B79" w:rsidRPr="00FF062A">
        <w:t>interpreting</w:t>
      </w:r>
      <w:r w:rsidR="009F2172" w:rsidRPr="00FF062A">
        <w:t xml:space="preserve"> their</w:t>
      </w:r>
      <w:r w:rsidR="003C2B79" w:rsidRPr="00FF062A">
        <w:t xml:space="preserve"> Higher Education outcomes. </w:t>
      </w:r>
      <w:r w:rsidR="003A2739">
        <w:t>In section two</w:t>
      </w:r>
      <w:r w:rsidR="003C2B79" w:rsidRPr="00FF062A">
        <w:t xml:space="preserve"> we describe the non-progression outcomes </w:t>
      </w:r>
      <w:r w:rsidR="003A2739">
        <w:t>for</w:t>
      </w:r>
      <w:r w:rsidR="003C2B79" w:rsidRPr="00FF062A">
        <w:t xml:space="preserve"> the groups over five years while also examining outcomes for different types of SUSI grant awards. In the </w:t>
      </w:r>
      <w:r w:rsidR="003A2739">
        <w:t>final</w:t>
      </w:r>
      <w:r w:rsidR="003C2B79" w:rsidRPr="00FF062A">
        <w:t xml:space="preserve"> </w:t>
      </w:r>
      <w:r w:rsidR="00AD7356">
        <w:t>section</w:t>
      </w:r>
      <w:r w:rsidR="003C2B79" w:rsidRPr="00FF062A">
        <w:t xml:space="preserve">, </w:t>
      </w:r>
      <w:r w:rsidR="009F2172" w:rsidRPr="00FF062A">
        <w:t xml:space="preserve">we </w:t>
      </w:r>
      <w:r w:rsidR="00DB68A8" w:rsidRPr="00FF062A">
        <w:t>highlight the 2021/22 year and</w:t>
      </w:r>
      <w:r w:rsidR="003C2B79" w:rsidRPr="00FF062A">
        <w:t xml:space="preserve"> assess the role of the different student background factors in explaining differences in non-progression outcomes based on whether students received a SUSI grant. </w:t>
      </w:r>
      <w:r w:rsidR="00DD1B85">
        <w:t>The analysis employs</w:t>
      </w:r>
      <w:r w:rsidR="003C2B79" w:rsidRPr="00FF062A">
        <w:t xml:space="preserve"> multivariate binary logistic regression</w:t>
      </w:r>
      <w:r w:rsidR="00AD7356">
        <w:t xml:space="preserve"> modelling</w:t>
      </w:r>
      <w:r w:rsidR="003C2B79" w:rsidRPr="00FF062A">
        <w:t xml:space="preserve">, with each of the background factors added </w:t>
      </w:r>
      <w:r w:rsidR="00DD1B85">
        <w:t>sequentially</w:t>
      </w:r>
      <w:r w:rsidR="00DB68A8" w:rsidRPr="00FF062A">
        <w:t xml:space="preserve"> to</w:t>
      </w:r>
      <w:r w:rsidR="003C2B79" w:rsidRPr="00FF062A">
        <w:t xml:space="preserve"> </w:t>
      </w:r>
      <w:r w:rsidR="00DD1B85">
        <w:t>isolate</w:t>
      </w:r>
      <w:r w:rsidR="00645809" w:rsidRPr="00FF062A">
        <w:t xml:space="preserve"> their effect on the relationship between </w:t>
      </w:r>
      <w:r w:rsidR="00DB68A8" w:rsidRPr="00FF062A">
        <w:t xml:space="preserve">receiving a </w:t>
      </w:r>
      <w:r w:rsidR="00645809" w:rsidRPr="00FF062A">
        <w:t xml:space="preserve">SUSI award and </w:t>
      </w:r>
      <w:r w:rsidR="008C2581">
        <w:t xml:space="preserve">likelihood of </w:t>
      </w:r>
      <w:r w:rsidR="00645809" w:rsidRPr="00FF062A">
        <w:t xml:space="preserve">non-progression. </w:t>
      </w:r>
    </w:p>
    <w:p w14:paraId="5336AE67" w14:textId="0A565064" w:rsidR="00536C6A" w:rsidRPr="00FF062A" w:rsidRDefault="00A63A4E" w:rsidP="00536C6A">
      <w:pPr>
        <w:pStyle w:val="Heading2"/>
      </w:pPr>
      <w:r>
        <w:t xml:space="preserve">Section one: </w:t>
      </w:r>
      <w:r w:rsidR="00D102C8">
        <w:t>Profile of SUSI grant awardees</w:t>
      </w:r>
      <w:r w:rsidR="00536C6A" w:rsidRPr="00FF062A">
        <w:t xml:space="preserve"> </w:t>
      </w:r>
    </w:p>
    <w:p w14:paraId="4656AB22" w14:textId="1568F750" w:rsidR="00DB68A8" w:rsidRPr="00FF062A" w:rsidRDefault="00DB68A8" w:rsidP="00B85CBC">
      <w:pPr>
        <w:pStyle w:val="Heading4"/>
      </w:pPr>
      <w:r w:rsidRPr="00FF062A">
        <w:t>Frequency of New Entrants 2017/18 to 2021/22</w:t>
      </w:r>
    </w:p>
    <w:p w14:paraId="349F5790" w14:textId="07915982" w:rsidR="00DB68A8" w:rsidRDefault="008C2581" w:rsidP="00DB68A8">
      <w:r>
        <w:t>T</w:t>
      </w:r>
      <w:r w:rsidR="00DB68A8" w:rsidRPr="00FF062A">
        <w:t xml:space="preserve">he overall number of New Entrants has increased </w:t>
      </w:r>
      <w:r w:rsidR="00B85CBC" w:rsidRPr="00FF062A">
        <w:t xml:space="preserve">over the period, </w:t>
      </w:r>
      <w:r w:rsidR="00DD1B85">
        <w:t>while</w:t>
      </w:r>
      <w:r>
        <w:t xml:space="preserve"> the </w:t>
      </w:r>
      <w:r w:rsidR="00B85CBC" w:rsidRPr="00FF062A">
        <w:t xml:space="preserve">number of </w:t>
      </w:r>
      <w:r>
        <w:t xml:space="preserve">annual </w:t>
      </w:r>
      <w:r w:rsidR="00B85CBC" w:rsidRPr="00FF062A">
        <w:t>SUSI awards has declined (figure 1). In 2017/18, 18,179 students were awarded a grant from a sample total of 40,045 (45.4%), while in 2021/22 16,508 from a total sample of 42,324 (39.0%) were.</w:t>
      </w:r>
      <w:r>
        <w:t xml:space="preserve"> Those not receiving a SUSI award increased from 2</w:t>
      </w:r>
      <w:r w:rsidR="0060726B">
        <w:t>1</w:t>
      </w:r>
      <w:r>
        <w:t>,866 to 25,816 in the same period.</w:t>
      </w:r>
    </w:p>
    <w:p w14:paraId="2ABF0FB7" w14:textId="260013D6" w:rsidR="002F5D92" w:rsidRPr="00FF062A" w:rsidRDefault="002F5D92" w:rsidP="00DB68A8">
      <w:r w:rsidRPr="002F5D92">
        <w:rPr>
          <w:noProof/>
        </w:rPr>
        <w:lastRenderedPageBreak/>
        <w:drawing>
          <wp:inline distT="0" distB="0" distL="0" distR="0" wp14:anchorId="37BEB587" wp14:editId="4272B2F9">
            <wp:extent cx="5731510" cy="3437890"/>
            <wp:effectExtent l="0" t="0" r="0" b="0"/>
            <wp:docPr id="11389342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638310FC" w14:textId="77777777" w:rsidR="00DB68A8" w:rsidRPr="00FF062A" w:rsidRDefault="00DB68A8" w:rsidP="00DB68A8"/>
    <w:p w14:paraId="79F508C4" w14:textId="40CC5C09" w:rsidR="003E7F61" w:rsidRPr="00FF062A" w:rsidRDefault="003E7F61" w:rsidP="003E7F61">
      <w:pPr>
        <w:pStyle w:val="Heading4"/>
      </w:pPr>
      <w:r w:rsidRPr="00FF062A">
        <w:t>Gender</w:t>
      </w:r>
    </w:p>
    <w:p w14:paraId="7FBDD766" w14:textId="1738D08D" w:rsidR="003E7017" w:rsidRPr="00FF062A" w:rsidRDefault="003E7017" w:rsidP="003E7017">
      <w:r w:rsidRPr="00FF062A">
        <w:t xml:space="preserve">There </w:t>
      </w:r>
      <w:r w:rsidR="00DD1B85">
        <w:t>was</w:t>
      </w:r>
      <w:r w:rsidRPr="00FF062A">
        <w:t xml:space="preserve"> a higher proportion </w:t>
      </w:r>
      <w:r w:rsidR="003E7F61" w:rsidRPr="00FF062A">
        <w:t xml:space="preserve">of females in the SUSI award group compared to the non-SUSI group, and the percentage of females in the SUSI group has gradually increased </w:t>
      </w:r>
      <w:r w:rsidR="00A377F9">
        <w:t>from</w:t>
      </w:r>
      <w:r w:rsidR="003E7F61" w:rsidRPr="00FF062A">
        <w:t xml:space="preserve"> </w:t>
      </w:r>
      <w:r w:rsidR="00A377F9">
        <w:t xml:space="preserve">53.6% in </w:t>
      </w:r>
      <w:r w:rsidR="003E7F61" w:rsidRPr="00FF062A">
        <w:t>2017/18 to 56.1% in 2021/22</w:t>
      </w:r>
      <w:r w:rsidR="00A377F9">
        <w:t xml:space="preserve"> (figure 2)</w:t>
      </w:r>
      <w:r w:rsidR="003E7F61" w:rsidRPr="00FF062A">
        <w:t xml:space="preserve">. </w:t>
      </w:r>
      <w:r w:rsidR="00A377F9">
        <w:t xml:space="preserve">Just over half of the non-SUSI group </w:t>
      </w:r>
      <w:r w:rsidR="00147F3B">
        <w:t xml:space="preserve">(50.7%) </w:t>
      </w:r>
      <w:r w:rsidR="00A377F9">
        <w:t xml:space="preserve">were female in the latest </w:t>
      </w:r>
      <w:r w:rsidR="00147F3B">
        <w:t xml:space="preserve">available </w:t>
      </w:r>
      <w:r w:rsidR="00A377F9">
        <w:t>year.</w:t>
      </w:r>
    </w:p>
    <w:p w14:paraId="049742BE" w14:textId="200DBA0C" w:rsidR="003E7017" w:rsidRPr="00FF062A" w:rsidRDefault="008578A0" w:rsidP="003E7017">
      <w:r w:rsidRPr="008578A0">
        <w:rPr>
          <w:noProof/>
        </w:rPr>
        <w:drawing>
          <wp:inline distT="0" distB="0" distL="0" distR="0" wp14:anchorId="46711548" wp14:editId="5F3127CE">
            <wp:extent cx="5731510" cy="3437890"/>
            <wp:effectExtent l="0" t="0" r="0" b="0"/>
            <wp:docPr id="4200441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6DD0A1A8" w14:textId="77777777" w:rsidR="00B85CBC" w:rsidRPr="00FF062A" w:rsidRDefault="00B85CBC" w:rsidP="00B85CBC"/>
    <w:p w14:paraId="6D659B46" w14:textId="5C0E275C" w:rsidR="003E7F61" w:rsidRPr="00FF062A" w:rsidRDefault="003E7F61" w:rsidP="003E7F61">
      <w:pPr>
        <w:pStyle w:val="Heading4"/>
      </w:pPr>
      <w:r w:rsidRPr="00FF062A">
        <w:lastRenderedPageBreak/>
        <w:t>Mature students</w:t>
      </w:r>
    </w:p>
    <w:p w14:paraId="0FDB0112" w14:textId="79A575C7" w:rsidR="003E7F61" w:rsidRDefault="003E7F61" w:rsidP="003E7F61">
      <w:r w:rsidRPr="00FF062A">
        <w:t>Figure 3 shows that while the proportion of mature students</w:t>
      </w:r>
      <w:r w:rsidR="0044335E">
        <w:t xml:space="preserve"> (those 23 years and older)</w:t>
      </w:r>
      <w:r w:rsidRPr="00FF062A">
        <w:t xml:space="preserve"> is higher in the SUSI group compared to the non-SUSI group</w:t>
      </w:r>
      <w:r w:rsidR="003853EC" w:rsidRPr="00FF062A">
        <w:t xml:space="preserve">, the trend over time </w:t>
      </w:r>
      <w:r w:rsidR="008C2581">
        <w:t>is</w:t>
      </w:r>
      <w:r w:rsidR="003853EC" w:rsidRPr="00FF062A">
        <w:t xml:space="preserve"> for a narrowing of this difference. This is attributable to a decline in the percentage of </w:t>
      </w:r>
      <w:r w:rsidR="001E2656">
        <w:t>mature students</w:t>
      </w:r>
      <w:r w:rsidR="003853EC" w:rsidRPr="00FF062A">
        <w:t xml:space="preserve"> in the SUSI group; at the start of the period </w:t>
      </w:r>
      <w:r w:rsidR="0044335E">
        <w:t>11.6</w:t>
      </w:r>
      <w:r w:rsidR="003853EC" w:rsidRPr="00FF062A">
        <w:t xml:space="preserve">% of the SUSI group were </w:t>
      </w:r>
      <w:r w:rsidR="0044335E">
        <w:t>mature students</w:t>
      </w:r>
      <w:r w:rsidR="003853EC" w:rsidRPr="00FF062A">
        <w:t xml:space="preserve"> compared to 9.1% in the latest year. The percentage of </w:t>
      </w:r>
      <w:r w:rsidR="001E2656">
        <w:t>mature students</w:t>
      </w:r>
      <w:r w:rsidR="003853EC" w:rsidRPr="00FF062A">
        <w:t xml:space="preserve"> in the non-SUSI group has remained consistent at approximately 6% throughout the period.</w:t>
      </w:r>
    </w:p>
    <w:p w14:paraId="47610C50" w14:textId="7B7D6EB4" w:rsidR="00A23CB8" w:rsidRDefault="0044335E" w:rsidP="003E7F61">
      <w:r w:rsidRPr="0044335E">
        <w:rPr>
          <w:noProof/>
        </w:rPr>
        <w:drawing>
          <wp:inline distT="0" distB="0" distL="0" distR="0" wp14:anchorId="0A881E6E" wp14:editId="7B93E863">
            <wp:extent cx="5731510" cy="3437890"/>
            <wp:effectExtent l="0" t="0" r="0" b="0"/>
            <wp:docPr id="391293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6734EB2D" w14:textId="77777777" w:rsidR="0044335E" w:rsidRPr="00FF062A" w:rsidRDefault="0044335E" w:rsidP="003E7F61"/>
    <w:p w14:paraId="05BD4C6E" w14:textId="06858F19" w:rsidR="003853EC" w:rsidRPr="00FF062A" w:rsidRDefault="003853EC" w:rsidP="003853EC">
      <w:pPr>
        <w:pStyle w:val="Heading4"/>
      </w:pPr>
      <w:r w:rsidRPr="00FF062A">
        <w:t>Higher Education sector</w:t>
      </w:r>
    </w:p>
    <w:p w14:paraId="4967086B" w14:textId="4B4C13A3" w:rsidR="003853EC" w:rsidRDefault="003853EC" w:rsidP="003853EC">
      <w:r w:rsidRPr="00FF062A">
        <w:t xml:space="preserve">There was a substantially higher proportion of the SUSI group who attended technological universities </w:t>
      </w:r>
      <w:r w:rsidR="005958E7" w:rsidRPr="00FF062A">
        <w:t>compared to</w:t>
      </w:r>
      <w:r w:rsidRPr="00FF062A">
        <w:t xml:space="preserve"> the non-SUSI group</w:t>
      </w:r>
      <w:r w:rsidR="005958E7" w:rsidRPr="00FF062A">
        <w:t xml:space="preserve"> in each year (figure 4). As </w:t>
      </w:r>
      <w:r w:rsidR="008C2581">
        <w:t>Higher Education</w:t>
      </w:r>
      <w:r w:rsidR="005958E7" w:rsidRPr="00FF062A">
        <w:t xml:space="preserve"> sector is a binary category with the traditional university sector being the other category, the inverse proportions apply to that sector. While the percentage of the SUSI group attending technological universities has declined, there remained a 17-percentage point difference between those who did and did not receive a SUSI award in 2021/22.</w:t>
      </w:r>
    </w:p>
    <w:p w14:paraId="52CEF166" w14:textId="0BF93249" w:rsidR="00A23CB8" w:rsidRPr="00FF062A" w:rsidRDefault="00656439" w:rsidP="003853EC">
      <w:r w:rsidRPr="00656439">
        <w:rPr>
          <w:noProof/>
        </w:rPr>
        <w:lastRenderedPageBreak/>
        <w:drawing>
          <wp:inline distT="0" distB="0" distL="0" distR="0" wp14:anchorId="52A00C43" wp14:editId="726A8161">
            <wp:extent cx="5731510" cy="3437890"/>
            <wp:effectExtent l="0" t="0" r="0" b="0"/>
            <wp:docPr id="16265625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67954A15" w14:textId="77777777" w:rsidR="003853EC" w:rsidRPr="00FF062A" w:rsidRDefault="003853EC" w:rsidP="003853EC"/>
    <w:p w14:paraId="08122A34" w14:textId="4FC0F164" w:rsidR="002931E5" w:rsidRPr="00FF062A" w:rsidRDefault="005958E7" w:rsidP="005958E7">
      <w:pPr>
        <w:pStyle w:val="Heading4"/>
      </w:pPr>
      <w:r w:rsidRPr="00FF062A">
        <w:t>Higher deprivation index score</w:t>
      </w:r>
    </w:p>
    <w:p w14:paraId="3624FE95" w14:textId="52E1ADE7" w:rsidR="00D16347" w:rsidRDefault="00C50E54" w:rsidP="002931E5">
      <w:r w:rsidRPr="00FF062A">
        <w:t xml:space="preserve">Figure 5 shows the proportion of the SUSI and non-SUSI group who had a Deprivation Index Score of minus ten and below. This count includes all those in the Deprived and high deprivation groups. As there is an association between individual level parental income (the main criteria for SUSI qualification) and the level of relative deprivation of the parental home area (as measured by Deprivation Index Score), it is unsurprising that </w:t>
      </w:r>
      <w:r w:rsidR="00830BF1" w:rsidRPr="00FF062A">
        <w:t>more th</w:t>
      </w:r>
      <w:r w:rsidR="00A23CB8">
        <w:t>a</w:t>
      </w:r>
      <w:r w:rsidR="00830BF1" w:rsidRPr="00FF062A">
        <w:t>n three times a higher proportion of th</w:t>
      </w:r>
      <w:r w:rsidR="00894F66">
        <w:t>ose who received a</w:t>
      </w:r>
      <w:r w:rsidR="00830BF1" w:rsidRPr="00FF062A">
        <w:t xml:space="preserve"> SUSI </w:t>
      </w:r>
      <w:r w:rsidR="00894F66">
        <w:t>award</w:t>
      </w:r>
      <w:r w:rsidR="00830BF1" w:rsidRPr="00FF062A">
        <w:t xml:space="preserve"> were in </w:t>
      </w:r>
      <w:r w:rsidR="00894F66">
        <w:t>from</w:t>
      </w:r>
      <w:r w:rsidR="00830BF1" w:rsidRPr="00FF062A">
        <w:t xml:space="preserve"> deprived geographical </w:t>
      </w:r>
      <w:r w:rsidR="00894F66">
        <w:t>areas</w:t>
      </w:r>
      <w:r w:rsidR="00830BF1" w:rsidRPr="00FF062A">
        <w:t xml:space="preserve"> compared to those in the non-SUSI group</w:t>
      </w:r>
      <w:r w:rsidR="00894F66">
        <w:t>. The</w:t>
      </w:r>
      <w:r w:rsidR="00830BF1" w:rsidRPr="00FF062A">
        <w:t xml:space="preserve"> difference </w:t>
      </w:r>
      <w:r w:rsidR="00894F66">
        <w:t>was</w:t>
      </w:r>
      <w:r w:rsidR="00830BF1" w:rsidRPr="00FF062A">
        <w:t xml:space="preserve"> stable through the period. In 2021/2</w:t>
      </w:r>
      <w:r w:rsidR="00894F66">
        <w:t>2,</w:t>
      </w:r>
      <w:r w:rsidR="00830BF1" w:rsidRPr="00FF062A">
        <w:t xml:space="preserve"> 17.6% of the SUSI group and 5.0% of the non-SUSI group came from deprived areas</w:t>
      </w:r>
      <w:r w:rsidR="00D11B97" w:rsidRPr="00FF062A">
        <w:t xml:space="preserve">. </w:t>
      </w:r>
      <w:r w:rsidR="00830BF1" w:rsidRPr="00FF062A">
        <w:t xml:space="preserve">This 5.0% in the non-SUSI group illustrates that there </w:t>
      </w:r>
      <w:r w:rsidR="00894F66" w:rsidRPr="00FF062A">
        <w:t>remain</w:t>
      </w:r>
      <w:r w:rsidR="00830BF1" w:rsidRPr="00FF062A">
        <w:t xml:space="preserve"> substantial pockets of those from relatively lower income households who live in non-deprived areas, indicating the limitations of a single measure of deprivation, in this case Deprivation Index Score.</w:t>
      </w:r>
    </w:p>
    <w:p w14:paraId="2E1536FC" w14:textId="61F00D7F" w:rsidR="00305C0D" w:rsidRDefault="005A56D4" w:rsidP="002931E5">
      <w:r w:rsidRPr="005A56D4">
        <w:rPr>
          <w:noProof/>
        </w:rPr>
        <w:drawing>
          <wp:inline distT="0" distB="0" distL="0" distR="0" wp14:anchorId="47D8C0B4" wp14:editId="04BB19E6">
            <wp:extent cx="5731510" cy="3437890"/>
            <wp:effectExtent l="0" t="0" r="0" b="0"/>
            <wp:docPr id="130010078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208E2BF3" w14:textId="77777777" w:rsidR="00305C0D" w:rsidRDefault="00305C0D" w:rsidP="00847F37">
      <w:pPr>
        <w:pStyle w:val="Heading4"/>
      </w:pPr>
    </w:p>
    <w:p w14:paraId="661E7919" w14:textId="429213E5" w:rsidR="00847F37" w:rsidRPr="00FF062A" w:rsidRDefault="00207548" w:rsidP="00207548">
      <w:pPr>
        <w:pStyle w:val="Heading3"/>
      </w:pPr>
      <w:r w:rsidRPr="00FF062A">
        <w:t>2021/22</w:t>
      </w:r>
      <w:r>
        <w:t xml:space="preserve"> year: </w:t>
      </w:r>
      <w:r w:rsidR="00847F37" w:rsidRPr="00FF062A">
        <w:t xml:space="preserve">Detailed characteristics </w:t>
      </w:r>
      <w:r>
        <w:t xml:space="preserve">by </w:t>
      </w:r>
      <w:r w:rsidR="00D102C8">
        <w:t>sub-</w:t>
      </w:r>
      <w:r>
        <w:t>group</w:t>
      </w:r>
    </w:p>
    <w:p w14:paraId="4E285543" w14:textId="4F01DEF9" w:rsidR="00847F37" w:rsidRPr="00FF062A" w:rsidRDefault="00847F37" w:rsidP="00B966EE">
      <w:r w:rsidRPr="00FF062A">
        <w:t xml:space="preserve">The </w:t>
      </w:r>
      <w:r w:rsidR="00ED5868">
        <w:t>forgoing</w:t>
      </w:r>
      <w:r w:rsidRPr="00FF062A">
        <w:t xml:space="preserve"> illustrate</w:t>
      </w:r>
      <w:r w:rsidR="00ED5868">
        <w:t>s</w:t>
      </w:r>
      <w:r w:rsidRPr="00FF062A">
        <w:t xml:space="preserve"> that there are systematic differences </w:t>
      </w:r>
      <w:r w:rsidR="0065387B" w:rsidRPr="00FF062A">
        <w:t>in</w:t>
      </w:r>
      <w:r w:rsidRPr="00FF062A">
        <w:t xml:space="preserve"> some important factors between those who do and do not receive a SUSI grant. Table 1 provides a more detailed breakdown of these differences for the 2021/22 year for sociodemographic factors, higher education factors and background secondary school and academic attainment factors, while also testing whether the differences between the groups</w:t>
      </w:r>
      <w:r w:rsidR="00480380" w:rsidRPr="00FF062A">
        <w:t xml:space="preserve"> </w:t>
      </w:r>
      <w:r w:rsidRPr="00FF062A">
        <w:t xml:space="preserve">are statistically significant. </w:t>
      </w:r>
    </w:p>
    <w:p w14:paraId="3DF3118D" w14:textId="42B0BCBB" w:rsidR="00A23CB8" w:rsidRDefault="0065387B" w:rsidP="00B966EE">
      <w:r w:rsidRPr="00FF062A">
        <w:t xml:space="preserve">There were significant differences between the two groups in each of the factors examined. </w:t>
      </w:r>
      <w:r w:rsidR="001851F9" w:rsidRPr="00FF062A">
        <w:t xml:space="preserve">20.5% of the SUSI group had a home address in Dublin compared to 26.1% of those in the non-SUSI group. For </w:t>
      </w:r>
      <w:r w:rsidR="00D102C8">
        <w:t>entry basis</w:t>
      </w:r>
      <w:r w:rsidR="001851F9" w:rsidRPr="00FF062A">
        <w:t xml:space="preserve">, 63.8% of the SUSI group entered Higher Education through the </w:t>
      </w:r>
      <w:r w:rsidR="0085494A">
        <w:t>second level</w:t>
      </w:r>
      <w:r w:rsidR="001851F9" w:rsidRPr="00FF062A">
        <w:t xml:space="preserve"> exams path while 80.3% of the non-SUSI group did so. A significantly higher proportion of the SUSI group attended a DEIS school in their final year (16.6%) compared to those who did not receive a SUSI award (</w:t>
      </w:r>
      <w:r w:rsidR="003261E8" w:rsidRPr="00FF062A">
        <w:t>7.6%). 2.3% of those receiving a SUSI grant attended a fee-paying school (11.8% of the non-SUSI group). A higher proportion of the SUSI group attended mixed gender schools (61.2%) compared to the non-SUSI group (52.3%). Examining the Leaving Certificate points groups, there were significant differences</w:t>
      </w:r>
      <w:r w:rsidR="00602AAF">
        <w:t>,</w:t>
      </w:r>
      <w:r w:rsidR="003261E8" w:rsidRPr="00FF062A">
        <w:t xml:space="preserve"> with </w:t>
      </w:r>
      <w:r w:rsidR="0085494A">
        <w:t xml:space="preserve">a </w:t>
      </w:r>
      <w:r w:rsidR="003261E8" w:rsidRPr="00FF062A">
        <w:t>substantially higher proportion of the top five points groups (equivalent to between 450 and 625 points) in the non-SUSI group compared to the SUSI group.</w:t>
      </w:r>
      <w:r w:rsidR="00602AAF">
        <w:t xml:space="preserve"> Among those for whom Leaving Certificate points information was not available, a substantially greater proportion were in the SUSI group (27.0%) compared to the non-SUSI group (14.8%).</w:t>
      </w:r>
    </w:p>
    <w:p w14:paraId="5F624665" w14:textId="77777777" w:rsidR="00A23CB8" w:rsidRDefault="00A23CB8">
      <w:r>
        <w:br w:type="page"/>
      </w:r>
    </w:p>
    <w:p w14:paraId="749C043E" w14:textId="2F576D8F" w:rsidR="0085494A" w:rsidRDefault="0085494A" w:rsidP="0085494A">
      <w:pPr>
        <w:pStyle w:val="Caption"/>
        <w:keepNext/>
        <w:spacing w:after="0"/>
      </w:pPr>
      <w:r>
        <w:t xml:space="preserve">Table </w:t>
      </w:r>
      <w:r w:rsidR="00147F3B">
        <w:fldChar w:fldCharType="begin"/>
      </w:r>
      <w:r w:rsidR="00147F3B">
        <w:instrText xml:space="preserve"> SEQ Table \* ARABIC </w:instrText>
      </w:r>
      <w:r w:rsidR="00147F3B">
        <w:fldChar w:fldCharType="separate"/>
      </w:r>
      <w:r w:rsidR="00C74E59">
        <w:rPr>
          <w:noProof/>
        </w:rPr>
        <w:t>1</w:t>
      </w:r>
      <w:r w:rsidR="00147F3B">
        <w:rPr>
          <w:noProof/>
        </w:rPr>
        <w:fldChar w:fldCharType="end"/>
      </w:r>
      <w:r>
        <w:t>: Characteristics by SUSI group 2021/22</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007BB8"/>
        <w:tblLook w:val="04A0" w:firstRow="1" w:lastRow="0" w:firstColumn="1" w:lastColumn="0" w:noHBand="0" w:noVBand="1"/>
      </w:tblPr>
      <w:tblGrid>
        <w:gridCol w:w="2251"/>
        <w:gridCol w:w="1399"/>
        <w:gridCol w:w="1561"/>
        <w:gridCol w:w="709"/>
      </w:tblGrid>
      <w:tr w:rsidR="000E634F" w:rsidRPr="000E634F" w14:paraId="50674FCF" w14:textId="77777777" w:rsidTr="00ED5868">
        <w:trPr>
          <w:trHeight w:val="217"/>
        </w:trPr>
        <w:tc>
          <w:tcPr>
            <w:tcW w:w="2251" w:type="dxa"/>
            <w:shd w:val="clear" w:color="auto" w:fill="007BB8"/>
          </w:tcPr>
          <w:p w14:paraId="2ED750B5" w14:textId="77777777" w:rsidR="00526ED5" w:rsidRPr="000E634F" w:rsidRDefault="00526ED5" w:rsidP="00526ED5">
            <w:pPr>
              <w:rPr>
                <w:rFonts w:ascii="Aptos" w:eastAsia="Aptos" w:hAnsi="Aptos" w:cs="Times New Roman"/>
                <w:color w:val="FFFFFF" w:themeColor="background1"/>
                <w:sz w:val="16"/>
                <w:szCs w:val="16"/>
                <w:lang w:val="en-IE"/>
              </w:rPr>
            </w:pPr>
          </w:p>
        </w:tc>
        <w:tc>
          <w:tcPr>
            <w:tcW w:w="3669" w:type="dxa"/>
            <w:gridSpan w:val="3"/>
            <w:shd w:val="clear" w:color="auto" w:fill="007BB8"/>
            <w:vAlign w:val="bottom"/>
          </w:tcPr>
          <w:p w14:paraId="153FECAC" w14:textId="77777777" w:rsidR="00526ED5" w:rsidRPr="000E634F" w:rsidRDefault="00526ED5" w:rsidP="00526ED5">
            <w:pPr>
              <w:rPr>
                <w:rFonts w:ascii="Aptos" w:eastAsia="Aptos" w:hAnsi="Aptos" w:cs="Times New Roman"/>
                <w:b/>
                <w:bCs/>
                <w:color w:val="FFFFFF" w:themeColor="background1"/>
                <w:sz w:val="16"/>
                <w:szCs w:val="16"/>
                <w:lang w:val="en-IE"/>
              </w:rPr>
            </w:pPr>
            <w:r w:rsidRPr="000E634F">
              <w:rPr>
                <w:rFonts w:ascii="Aptos" w:eastAsia="Aptos" w:hAnsi="Aptos" w:cs="Times New Roman"/>
                <w:b/>
                <w:bCs/>
                <w:color w:val="FFFFFF" w:themeColor="background1"/>
                <w:sz w:val="16"/>
                <w:szCs w:val="16"/>
                <w:lang w:val="en-IE"/>
              </w:rPr>
              <w:t>Award of SUSI grant</w:t>
            </w:r>
          </w:p>
        </w:tc>
      </w:tr>
      <w:tr w:rsidR="000E634F" w:rsidRPr="000E634F" w14:paraId="4D8DBC78" w14:textId="77777777" w:rsidTr="00ED5868">
        <w:trPr>
          <w:trHeight w:val="205"/>
        </w:trPr>
        <w:tc>
          <w:tcPr>
            <w:tcW w:w="2251" w:type="dxa"/>
            <w:shd w:val="clear" w:color="auto" w:fill="007BB8"/>
          </w:tcPr>
          <w:p w14:paraId="266DA36C" w14:textId="77777777" w:rsidR="00526ED5" w:rsidRPr="000E634F" w:rsidRDefault="00526ED5" w:rsidP="00526ED5">
            <w:pPr>
              <w:rPr>
                <w:rFonts w:ascii="Aptos" w:eastAsia="Aptos" w:hAnsi="Aptos" w:cs="Times New Roman"/>
                <w:color w:val="FFFFFF" w:themeColor="background1"/>
                <w:sz w:val="16"/>
                <w:szCs w:val="16"/>
                <w:lang w:val="en-IE"/>
              </w:rPr>
            </w:pPr>
          </w:p>
        </w:tc>
        <w:tc>
          <w:tcPr>
            <w:tcW w:w="1399" w:type="dxa"/>
            <w:shd w:val="clear" w:color="auto" w:fill="007BB8"/>
            <w:vAlign w:val="bottom"/>
          </w:tcPr>
          <w:p w14:paraId="57233D4D" w14:textId="77777777" w:rsidR="00526ED5" w:rsidRPr="000E634F" w:rsidRDefault="00526ED5" w:rsidP="00526ED5">
            <w:pPr>
              <w:rPr>
                <w:rFonts w:ascii="Aptos" w:eastAsia="Aptos" w:hAnsi="Aptos" w:cs="Times New Roman"/>
                <w:b/>
                <w:bCs/>
                <w:i/>
                <w:iCs/>
                <w:color w:val="FFFFFF" w:themeColor="background1"/>
                <w:sz w:val="16"/>
                <w:szCs w:val="16"/>
                <w:lang w:val="en-IE"/>
              </w:rPr>
            </w:pPr>
            <w:r w:rsidRPr="000E634F">
              <w:rPr>
                <w:rFonts w:ascii="Aptos" w:eastAsia="Aptos" w:hAnsi="Aptos" w:cs="Times New Roman"/>
                <w:b/>
                <w:bCs/>
                <w:i/>
                <w:iCs/>
                <w:color w:val="FFFFFF" w:themeColor="background1"/>
                <w:sz w:val="16"/>
                <w:szCs w:val="16"/>
                <w:lang w:val="en-IE"/>
              </w:rPr>
              <w:t>No</w:t>
            </w:r>
          </w:p>
        </w:tc>
        <w:tc>
          <w:tcPr>
            <w:tcW w:w="1561" w:type="dxa"/>
            <w:shd w:val="clear" w:color="auto" w:fill="007BB8"/>
            <w:vAlign w:val="bottom"/>
          </w:tcPr>
          <w:p w14:paraId="7DF38F5B" w14:textId="77777777" w:rsidR="00526ED5" w:rsidRPr="000E634F" w:rsidRDefault="00526ED5" w:rsidP="00526ED5">
            <w:pPr>
              <w:rPr>
                <w:rFonts w:ascii="Aptos" w:eastAsia="Aptos" w:hAnsi="Aptos" w:cs="Times New Roman"/>
                <w:b/>
                <w:bCs/>
                <w:i/>
                <w:iCs/>
                <w:color w:val="FFFFFF" w:themeColor="background1"/>
                <w:sz w:val="16"/>
                <w:szCs w:val="16"/>
                <w:lang w:val="en-IE"/>
              </w:rPr>
            </w:pPr>
            <w:r w:rsidRPr="000E634F">
              <w:rPr>
                <w:rFonts w:ascii="Aptos" w:eastAsia="Aptos" w:hAnsi="Aptos" w:cs="Times New Roman"/>
                <w:b/>
                <w:bCs/>
                <w:i/>
                <w:iCs/>
                <w:color w:val="FFFFFF" w:themeColor="background1"/>
                <w:sz w:val="16"/>
                <w:szCs w:val="16"/>
                <w:lang w:val="en-IE"/>
              </w:rPr>
              <w:t>Yes</w:t>
            </w:r>
          </w:p>
        </w:tc>
        <w:tc>
          <w:tcPr>
            <w:tcW w:w="709" w:type="dxa"/>
            <w:shd w:val="clear" w:color="auto" w:fill="007BB8"/>
            <w:vAlign w:val="bottom"/>
          </w:tcPr>
          <w:p w14:paraId="03CF94D7" w14:textId="77777777" w:rsidR="00526ED5" w:rsidRPr="000E634F" w:rsidRDefault="00526ED5" w:rsidP="00526ED5">
            <w:pPr>
              <w:rPr>
                <w:rFonts w:ascii="Aptos" w:eastAsia="Aptos" w:hAnsi="Aptos" w:cs="Times New Roman"/>
                <w:b/>
                <w:bCs/>
                <w:i/>
                <w:iCs/>
                <w:color w:val="FFFFFF" w:themeColor="background1"/>
                <w:sz w:val="16"/>
                <w:szCs w:val="16"/>
                <w:lang w:val="en-IE"/>
              </w:rPr>
            </w:pPr>
            <w:r w:rsidRPr="000E634F">
              <w:rPr>
                <w:rFonts w:ascii="Aptos" w:eastAsia="Aptos" w:hAnsi="Aptos" w:cs="Times New Roman"/>
                <w:b/>
                <w:bCs/>
                <w:i/>
                <w:iCs/>
                <w:color w:val="FFFFFF" w:themeColor="background1"/>
                <w:sz w:val="16"/>
                <w:szCs w:val="16"/>
                <w:lang w:val="en-IE"/>
              </w:rPr>
              <w:t>Test</w:t>
            </w:r>
          </w:p>
        </w:tc>
      </w:tr>
      <w:tr w:rsidR="000E634F" w:rsidRPr="000E634F" w14:paraId="0773E1EF" w14:textId="77777777" w:rsidTr="00ED5868">
        <w:trPr>
          <w:trHeight w:val="194"/>
        </w:trPr>
        <w:tc>
          <w:tcPr>
            <w:tcW w:w="2251" w:type="dxa"/>
            <w:shd w:val="clear" w:color="auto" w:fill="007BB8"/>
            <w:vAlign w:val="bottom"/>
          </w:tcPr>
          <w:p w14:paraId="5184228E" w14:textId="77777777" w:rsidR="00526ED5" w:rsidRPr="000E634F" w:rsidRDefault="00526ED5" w:rsidP="00526ED5">
            <w:pPr>
              <w:rPr>
                <w:rFonts w:ascii="Aptos" w:eastAsia="Aptos" w:hAnsi="Aptos" w:cs="Times New Roman"/>
                <w:b/>
                <w:bCs/>
                <w:color w:val="FFFFFF" w:themeColor="background1"/>
                <w:sz w:val="16"/>
                <w:szCs w:val="16"/>
                <w:lang w:val="en-IE"/>
              </w:rPr>
            </w:pPr>
            <w:r w:rsidRPr="000E634F">
              <w:rPr>
                <w:rFonts w:ascii="Aptos" w:eastAsia="Aptos" w:hAnsi="Aptos" w:cs="Times New Roman"/>
                <w:b/>
                <w:bCs/>
                <w:color w:val="FFFFFF" w:themeColor="background1"/>
                <w:sz w:val="16"/>
                <w:szCs w:val="16"/>
                <w:lang w:val="en-IE"/>
              </w:rPr>
              <w:t>Total</w:t>
            </w:r>
          </w:p>
        </w:tc>
        <w:tc>
          <w:tcPr>
            <w:tcW w:w="1399" w:type="dxa"/>
            <w:shd w:val="clear" w:color="auto" w:fill="007BB8"/>
            <w:vAlign w:val="bottom"/>
          </w:tcPr>
          <w:p w14:paraId="552E8F0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25,816 (61.0%)</w:t>
            </w:r>
          </w:p>
        </w:tc>
        <w:tc>
          <w:tcPr>
            <w:tcW w:w="1561" w:type="dxa"/>
            <w:shd w:val="clear" w:color="auto" w:fill="007BB8"/>
            <w:vAlign w:val="bottom"/>
          </w:tcPr>
          <w:p w14:paraId="7632F46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16,508 (39.0%)</w:t>
            </w:r>
          </w:p>
        </w:tc>
        <w:tc>
          <w:tcPr>
            <w:tcW w:w="709" w:type="dxa"/>
            <w:shd w:val="clear" w:color="auto" w:fill="007BB8"/>
          </w:tcPr>
          <w:p w14:paraId="1BD64DD0"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0BC8CDEB" w14:textId="77777777" w:rsidTr="00ED5868">
        <w:trPr>
          <w:trHeight w:val="205"/>
        </w:trPr>
        <w:tc>
          <w:tcPr>
            <w:tcW w:w="5920" w:type="dxa"/>
            <w:gridSpan w:val="4"/>
            <w:shd w:val="clear" w:color="auto" w:fill="007BB8"/>
            <w:vAlign w:val="bottom"/>
          </w:tcPr>
          <w:p w14:paraId="3302C192" w14:textId="62403254" w:rsidR="00151E54" w:rsidRPr="000E634F" w:rsidRDefault="00151E54" w:rsidP="00526ED5">
            <w:pPr>
              <w:rPr>
                <w:rFonts w:ascii="Aptos" w:eastAsia="Aptos" w:hAnsi="Aptos" w:cs="Times New Roman"/>
                <w:color w:val="FFFFFF" w:themeColor="background1"/>
                <w:sz w:val="16"/>
                <w:szCs w:val="16"/>
                <w:lang w:val="en-IE"/>
              </w:rPr>
            </w:pPr>
            <w:r w:rsidRPr="000E634F">
              <w:rPr>
                <w:rFonts w:ascii="Aptos" w:eastAsia="Aptos" w:hAnsi="Aptos" w:cs="Times New Roman"/>
                <w:b/>
                <w:bCs/>
                <w:color w:val="FFFFFF" w:themeColor="background1"/>
                <w:sz w:val="16"/>
                <w:szCs w:val="16"/>
                <w:lang w:val="en-IE"/>
              </w:rPr>
              <w:t>Gender</w:t>
            </w:r>
          </w:p>
        </w:tc>
      </w:tr>
      <w:tr w:rsidR="000E634F" w:rsidRPr="000E634F" w14:paraId="03A249C1" w14:textId="77777777" w:rsidTr="00ED5868">
        <w:trPr>
          <w:trHeight w:val="194"/>
        </w:trPr>
        <w:tc>
          <w:tcPr>
            <w:tcW w:w="2251" w:type="dxa"/>
            <w:shd w:val="clear" w:color="auto" w:fill="007BB8"/>
            <w:vAlign w:val="bottom"/>
          </w:tcPr>
          <w:p w14:paraId="3190559D"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Female</w:t>
            </w:r>
          </w:p>
        </w:tc>
        <w:tc>
          <w:tcPr>
            <w:tcW w:w="1399" w:type="dxa"/>
            <w:shd w:val="clear" w:color="auto" w:fill="007BB8"/>
            <w:vAlign w:val="bottom"/>
          </w:tcPr>
          <w:p w14:paraId="09312614"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13,083 (50.7%)</w:t>
            </w:r>
          </w:p>
        </w:tc>
        <w:tc>
          <w:tcPr>
            <w:tcW w:w="1561" w:type="dxa"/>
            <w:shd w:val="clear" w:color="auto" w:fill="007BB8"/>
            <w:vAlign w:val="bottom"/>
          </w:tcPr>
          <w:p w14:paraId="3D8E9007"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9,257 (56.1%)</w:t>
            </w:r>
          </w:p>
        </w:tc>
        <w:tc>
          <w:tcPr>
            <w:tcW w:w="709" w:type="dxa"/>
            <w:shd w:val="clear" w:color="auto" w:fill="007BB8"/>
            <w:vAlign w:val="bottom"/>
          </w:tcPr>
          <w:p w14:paraId="21383051"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7DD92B60" w14:textId="77777777" w:rsidTr="00ED5868">
        <w:trPr>
          <w:trHeight w:val="205"/>
        </w:trPr>
        <w:tc>
          <w:tcPr>
            <w:tcW w:w="2251" w:type="dxa"/>
            <w:shd w:val="clear" w:color="auto" w:fill="007BB8"/>
            <w:vAlign w:val="bottom"/>
          </w:tcPr>
          <w:p w14:paraId="03F418AE"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Male</w:t>
            </w:r>
          </w:p>
        </w:tc>
        <w:tc>
          <w:tcPr>
            <w:tcW w:w="1399" w:type="dxa"/>
            <w:shd w:val="clear" w:color="auto" w:fill="007BB8"/>
            <w:vAlign w:val="bottom"/>
          </w:tcPr>
          <w:p w14:paraId="46637B17"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12,445 (48.2%)</w:t>
            </w:r>
          </w:p>
        </w:tc>
        <w:tc>
          <w:tcPr>
            <w:tcW w:w="1561" w:type="dxa"/>
            <w:shd w:val="clear" w:color="auto" w:fill="007BB8"/>
            <w:vAlign w:val="bottom"/>
          </w:tcPr>
          <w:p w14:paraId="7175FDD0"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7,122 (43.1%)</w:t>
            </w:r>
          </w:p>
        </w:tc>
        <w:tc>
          <w:tcPr>
            <w:tcW w:w="709" w:type="dxa"/>
            <w:shd w:val="clear" w:color="auto" w:fill="007BB8"/>
          </w:tcPr>
          <w:p w14:paraId="56971A4F"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37AD1DB9" w14:textId="77777777" w:rsidTr="00ED5868">
        <w:trPr>
          <w:trHeight w:val="205"/>
        </w:trPr>
        <w:tc>
          <w:tcPr>
            <w:tcW w:w="2251" w:type="dxa"/>
            <w:shd w:val="clear" w:color="auto" w:fill="007BB8"/>
            <w:vAlign w:val="bottom"/>
          </w:tcPr>
          <w:p w14:paraId="0F620A8C"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Other</w:t>
            </w:r>
          </w:p>
        </w:tc>
        <w:tc>
          <w:tcPr>
            <w:tcW w:w="1399" w:type="dxa"/>
            <w:shd w:val="clear" w:color="auto" w:fill="007BB8"/>
            <w:vAlign w:val="bottom"/>
          </w:tcPr>
          <w:p w14:paraId="3F3B5C53"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288 (1.1%)</w:t>
            </w:r>
          </w:p>
        </w:tc>
        <w:tc>
          <w:tcPr>
            <w:tcW w:w="1561" w:type="dxa"/>
            <w:shd w:val="clear" w:color="auto" w:fill="007BB8"/>
            <w:vAlign w:val="bottom"/>
          </w:tcPr>
          <w:p w14:paraId="6351B038"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129 (0.8%)</w:t>
            </w:r>
          </w:p>
        </w:tc>
        <w:tc>
          <w:tcPr>
            <w:tcW w:w="709" w:type="dxa"/>
            <w:shd w:val="clear" w:color="auto" w:fill="007BB8"/>
          </w:tcPr>
          <w:p w14:paraId="4FE24CE7"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50167A2A" w14:textId="77777777" w:rsidTr="00ED5868">
        <w:trPr>
          <w:trHeight w:val="194"/>
        </w:trPr>
        <w:tc>
          <w:tcPr>
            <w:tcW w:w="5920" w:type="dxa"/>
            <w:gridSpan w:val="4"/>
            <w:shd w:val="clear" w:color="auto" w:fill="007BB8"/>
            <w:vAlign w:val="bottom"/>
          </w:tcPr>
          <w:p w14:paraId="32646229" w14:textId="5E06A2EC" w:rsidR="00151E54" w:rsidRPr="000E634F" w:rsidRDefault="00151E54" w:rsidP="00526ED5">
            <w:pPr>
              <w:rPr>
                <w:rFonts w:ascii="Aptos" w:eastAsia="Aptos" w:hAnsi="Aptos" w:cs="Times New Roman"/>
                <w:color w:val="FFFFFF" w:themeColor="background1"/>
                <w:sz w:val="16"/>
                <w:szCs w:val="16"/>
                <w:lang w:val="en-IE"/>
              </w:rPr>
            </w:pPr>
            <w:r w:rsidRPr="000E634F">
              <w:rPr>
                <w:rFonts w:ascii="Aptos" w:eastAsia="Aptos" w:hAnsi="Aptos" w:cs="Times New Roman"/>
                <w:b/>
                <w:bCs/>
                <w:color w:val="FFFFFF" w:themeColor="background1"/>
                <w:sz w:val="16"/>
                <w:szCs w:val="16"/>
                <w:lang w:val="en-IE"/>
              </w:rPr>
              <w:t>Age category</w:t>
            </w:r>
          </w:p>
        </w:tc>
      </w:tr>
      <w:tr w:rsidR="000E634F" w:rsidRPr="000E634F" w14:paraId="433EC94C" w14:textId="77777777" w:rsidTr="00ED5868">
        <w:trPr>
          <w:trHeight w:val="205"/>
        </w:trPr>
        <w:tc>
          <w:tcPr>
            <w:tcW w:w="2251" w:type="dxa"/>
            <w:shd w:val="clear" w:color="auto" w:fill="007BB8"/>
            <w:vAlign w:val="bottom"/>
          </w:tcPr>
          <w:p w14:paraId="09596ABD"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16-18</w:t>
            </w:r>
          </w:p>
        </w:tc>
        <w:tc>
          <w:tcPr>
            <w:tcW w:w="1399" w:type="dxa"/>
            <w:shd w:val="clear" w:color="auto" w:fill="007BB8"/>
            <w:vAlign w:val="bottom"/>
          </w:tcPr>
          <w:p w14:paraId="46608118"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8,621 (33.4%)</w:t>
            </w:r>
          </w:p>
        </w:tc>
        <w:tc>
          <w:tcPr>
            <w:tcW w:w="1561" w:type="dxa"/>
            <w:shd w:val="clear" w:color="auto" w:fill="007BB8"/>
            <w:vAlign w:val="bottom"/>
          </w:tcPr>
          <w:p w14:paraId="7F45448A"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6,629 (40.2%)</w:t>
            </w:r>
          </w:p>
        </w:tc>
        <w:tc>
          <w:tcPr>
            <w:tcW w:w="709" w:type="dxa"/>
            <w:shd w:val="clear" w:color="auto" w:fill="007BB8"/>
            <w:vAlign w:val="bottom"/>
          </w:tcPr>
          <w:p w14:paraId="1F6365A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0B12CC5A" w14:textId="77777777" w:rsidTr="00ED5868">
        <w:trPr>
          <w:trHeight w:val="194"/>
        </w:trPr>
        <w:tc>
          <w:tcPr>
            <w:tcW w:w="2251" w:type="dxa"/>
            <w:shd w:val="clear" w:color="auto" w:fill="007BB8"/>
            <w:vAlign w:val="bottom"/>
          </w:tcPr>
          <w:p w14:paraId="5ABD5375"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19-20</w:t>
            </w:r>
          </w:p>
        </w:tc>
        <w:tc>
          <w:tcPr>
            <w:tcW w:w="1399" w:type="dxa"/>
            <w:shd w:val="clear" w:color="auto" w:fill="007BB8"/>
            <w:vAlign w:val="bottom"/>
          </w:tcPr>
          <w:p w14:paraId="2C378A18"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14,844 (57.5%)</w:t>
            </w:r>
          </w:p>
        </w:tc>
        <w:tc>
          <w:tcPr>
            <w:tcW w:w="1561" w:type="dxa"/>
            <w:shd w:val="clear" w:color="auto" w:fill="007BB8"/>
            <w:vAlign w:val="bottom"/>
          </w:tcPr>
          <w:p w14:paraId="69B98558"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7,774 (47.1%)</w:t>
            </w:r>
          </w:p>
        </w:tc>
        <w:tc>
          <w:tcPr>
            <w:tcW w:w="709" w:type="dxa"/>
            <w:shd w:val="clear" w:color="auto" w:fill="007BB8"/>
          </w:tcPr>
          <w:p w14:paraId="0D3D7DE1"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74135EBE" w14:textId="77777777" w:rsidTr="00ED5868">
        <w:trPr>
          <w:trHeight w:val="205"/>
        </w:trPr>
        <w:tc>
          <w:tcPr>
            <w:tcW w:w="2251" w:type="dxa"/>
            <w:shd w:val="clear" w:color="auto" w:fill="007BB8"/>
            <w:vAlign w:val="bottom"/>
          </w:tcPr>
          <w:p w14:paraId="6B36413B"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21-24</w:t>
            </w:r>
          </w:p>
        </w:tc>
        <w:tc>
          <w:tcPr>
            <w:tcW w:w="1399" w:type="dxa"/>
            <w:shd w:val="clear" w:color="auto" w:fill="007BB8"/>
            <w:vAlign w:val="bottom"/>
          </w:tcPr>
          <w:p w14:paraId="1B71588A"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1,313 (5.1%)</w:t>
            </w:r>
          </w:p>
        </w:tc>
        <w:tc>
          <w:tcPr>
            <w:tcW w:w="1561" w:type="dxa"/>
            <w:shd w:val="clear" w:color="auto" w:fill="007BB8"/>
            <w:vAlign w:val="bottom"/>
          </w:tcPr>
          <w:p w14:paraId="665E736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892 (5.4%)</w:t>
            </w:r>
          </w:p>
        </w:tc>
        <w:tc>
          <w:tcPr>
            <w:tcW w:w="709" w:type="dxa"/>
            <w:shd w:val="clear" w:color="auto" w:fill="007BB8"/>
          </w:tcPr>
          <w:p w14:paraId="507D5ADB"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046508C1" w14:textId="77777777" w:rsidTr="00ED5868">
        <w:trPr>
          <w:trHeight w:val="194"/>
        </w:trPr>
        <w:tc>
          <w:tcPr>
            <w:tcW w:w="2251" w:type="dxa"/>
            <w:shd w:val="clear" w:color="auto" w:fill="007BB8"/>
            <w:vAlign w:val="bottom"/>
          </w:tcPr>
          <w:p w14:paraId="2626A167"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25-29</w:t>
            </w:r>
          </w:p>
        </w:tc>
        <w:tc>
          <w:tcPr>
            <w:tcW w:w="1399" w:type="dxa"/>
            <w:shd w:val="clear" w:color="auto" w:fill="007BB8"/>
            <w:vAlign w:val="bottom"/>
          </w:tcPr>
          <w:p w14:paraId="330AA1F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527 (2.0%)</w:t>
            </w:r>
          </w:p>
        </w:tc>
        <w:tc>
          <w:tcPr>
            <w:tcW w:w="1561" w:type="dxa"/>
            <w:shd w:val="clear" w:color="auto" w:fill="007BB8"/>
            <w:vAlign w:val="bottom"/>
          </w:tcPr>
          <w:p w14:paraId="39F5623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463 (2.8%)</w:t>
            </w:r>
          </w:p>
        </w:tc>
        <w:tc>
          <w:tcPr>
            <w:tcW w:w="709" w:type="dxa"/>
            <w:shd w:val="clear" w:color="auto" w:fill="007BB8"/>
          </w:tcPr>
          <w:p w14:paraId="15C6BD9E"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7A68ADC8" w14:textId="77777777" w:rsidTr="00ED5868">
        <w:trPr>
          <w:trHeight w:val="205"/>
        </w:trPr>
        <w:tc>
          <w:tcPr>
            <w:tcW w:w="2251" w:type="dxa"/>
            <w:shd w:val="clear" w:color="auto" w:fill="007BB8"/>
            <w:vAlign w:val="bottom"/>
          </w:tcPr>
          <w:p w14:paraId="330D89FD"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30 Years +</w:t>
            </w:r>
          </w:p>
        </w:tc>
        <w:tc>
          <w:tcPr>
            <w:tcW w:w="1399" w:type="dxa"/>
            <w:shd w:val="clear" w:color="auto" w:fill="007BB8"/>
            <w:vAlign w:val="bottom"/>
          </w:tcPr>
          <w:p w14:paraId="29737964"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511 (2.0%)</w:t>
            </w:r>
          </w:p>
        </w:tc>
        <w:tc>
          <w:tcPr>
            <w:tcW w:w="1561" w:type="dxa"/>
            <w:shd w:val="clear" w:color="auto" w:fill="007BB8"/>
            <w:vAlign w:val="bottom"/>
          </w:tcPr>
          <w:p w14:paraId="4E04B9EF"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750 (4.5%)</w:t>
            </w:r>
          </w:p>
        </w:tc>
        <w:tc>
          <w:tcPr>
            <w:tcW w:w="709" w:type="dxa"/>
            <w:shd w:val="clear" w:color="auto" w:fill="007BB8"/>
          </w:tcPr>
          <w:p w14:paraId="265DE00A"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4A0A6106" w14:textId="77777777" w:rsidTr="00ED5868">
        <w:trPr>
          <w:trHeight w:val="194"/>
        </w:trPr>
        <w:tc>
          <w:tcPr>
            <w:tcW w:w="5920" w:type="dxa"/>
            <w:gridSpan w:val="4"/>
            <w:shd w:val="clear" w:color="auto" w:fill="007BB8"/>
            <w:vAlign w:val="bottom"/>
          </w:tcPr>
          <w:p w14:paraId="489CFFB3" w14:textId="0AC689BD" w:rsidR="00151E54" w:rsidRPr="000E634F" w:rsidRDefault="00151E54" w:rsidP="00526ED5">
            <w:pPr>
              <w:rPr>
                <w:rFonts w:ascii="Aptos" w:eastAsia="Aptos" w:hAnsi="Aptos" w:cs="Times New Roman"/>
                <w:color w:val="FFFFFF" w:themeColor="background1"/>
                <w:sz w:val="16"/>
                <w:szCs w:val="16"/>
                <w:lang w:val="en-IE"/>
              </w:rPr>
            </w:pPr>
            <w:r w:rsidRPr="000E634F">
              <w:rPr>
                <w:rFonts w:ascii="Aptos" w:eastAsia="Aptos" w:hAnsi="Aptos" w:cs="Times New Roman"/>
                <w:b/>
                <w:bCs/>
                <w:color w:val="FFFFFF" w:themeColor="background1"/>
                <w:sz w:val="16"/>
                <w:szCs w:val="16"/>
                <w:lang w:val="en-IE"/>
              </w:rPr>
              <w:t>Deprivation Index group</w:t>
            </w:r>
          </w:p>
        </w:tc>
      </w:tr>
      <w:tr w:rsidR="000E634F" w:rsidRPr="000E634F" w14:paraId="65ECC71A" w14:textId="77777777" w:rsidTr="00ED5868">
        <w:trPr>
          <w:trHeight w:val="205"/>
        </w:trPr>
        <w:tc>
          <w:tcPr>
            <w:tcW w:w="2251" w:type="dxa"/>
            <w:shd w:val="clear" w:color="auto" w:fill="007BB8"/>
            <w:vAlign w:val="bottom"/>
          </w:tcPr>
          <w:p w14:paraId="0B390BB5"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High deprivation</w:t>
            </w:r>
          </w:p>
        </w:tc>
        <w:tc>
          <w:tcPr>
            <w:tcW w:w="1399" w:type="dxa"/>
            <w:shd w:val="clear" w:color="auto" w:fill="007BB8"/>
            <w:vAlign w:val="bottom"/>
          </w:tcPr>
          <w:p w14:paraId="2682E124"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188 (0.8%)</w:t>
            </w:r>
          </w:p>
        </w:tc>
        <w:tc>
          <w:tcPr>
            <w:tcW w:w="1561" w:type="dxa"/>
            <w:shd w:val="clear" w:color="auto" w:fill="007BB8"/>
            <w:vAlign w:val="bottom"/>
          </w:tcPr>
          <w:p w14:paraId="0603F960"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648 (4.3%)</w:t>
            </w:r>
          </w:p>
        </w:tc>
        <w:tc>
          <w:tcPr>
            <w:tcW w:w="709" w:type="dxa"/>
            <w:shd w:val="clear" w:color="auto" w:fill="007BB8"/>
            <w:vAlign w:val="bottom"/>
          </w:tcPr>
          <w:p w14:paraId="61827C70"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336C654C" w14:textId="77777777" w:rsidTr="00ED5868">
        <w:trPr>
          <w:trHeight w:val="205"/>
        </w:trPr>
        <w:tc>
          <w:tcPr>
            <w:tcW w:w="2251" w:type="dxa"/>
            <w:shd w:val="clear" w:color="auto" w:fill="007BB8"/>
            <w:vAlign w:val="bottom"/>
          </w:tcPr>
          <w:p w14:paraId="479F184C"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Deprived</w:t>
            </w:r>
          </w:p>
        </w:tc>
        <w:tc>
          <w:tcPr>
            <w:tcW w:w="1399" w:type="dxa"/>
            <w:shd w:val="clear" w:color="auto" w:fill="007BB8"/>
            <w:vAlign w:val="bottom"/>
          </w:tcPr>
          <w:p w14:paraId="3D73EC0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986 (4.2%)</w:t>
            </w:r>
          </w:p>
        </w:tc>
        <w:tc>
          <w:tcPr>
            <w:tcW w:w="1561" w:type="dxa"/>
            <w:shd w:val="clear" w:color="auto" w:fill="007BB8"/>
            <w:vAlign w:val="bottom"/>
          </w:tcPr>
          <w:p w14:paraId="2331DEBF"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1,987 (13.3%)</w:t>
            </w:r>
          </w:p>
        </w:tc>
        <w:tc>
          <w:tcPr>
            <w:tcW w:w="709" w:type="dxa"/>
            <w:shd w:val="clear" w:color="auto" w:fill="007BB8"/>
          </w:tcPr>
          <w:p w14:paraId="4B3B0CF1"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2F530F60" w14:textId="77777777" w:rsidTr="00ED5868">
        <w:trPr>
          <w:trHeight w:val="194"/>
        </w:trPr>
        <w:tc>
          <w:tcPr>
            <w:tcW w:w="2251" w:type="dxa"/>
            <w:shd w:val="clear" w:color="auto" w:fill="007BB8"/>
            <w:vAlign w:val="bottom"/>
          </w:tcPr>
          <w:p w14:paraId="6076F617"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Marg. below </w:t>
            </w:r>
            <w:proofErr w:type="spellStart"/>
            <w:r w:rsidRPr="000E634F">
              <w:rPr>
                <w:rFonts w:ascii="Aptos" w:eastAsia="Aptos" w:hAnsi="Aptos" w:cs="Times New Roman"/>
                <w:color w:val="FFFFFF" w:themeColor="background1"/>
                <w:sz w:val="16"/>
                <w:szCs w:val="16"/>
                <w:lang w:val="en-IE"/>
              </w:rPr>
              <w:t>avg</w:t>
            </w:r>
            <w:proofErr w:type="spellEnd"/>
          </w:p>
        </w:tc>
        <w:tc>
          <w:tcPr>
            <w:tcW w:w="1399" w:type="dxa"/>
            <w:shd w:val="clear" w:color="auto" w:fill="007BB8"/>
            <w:vAlign w:val="bottom"/>
          </w:tcPr>
          <w:p w14:paraId="4ECBB64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5,447 (23.0%)</w:t>
            </w:r>
          </w:p>
        </w:tc>
        <w:tc>
          <w:tcPr>
            <w:tcW w:w="1561" w:type="dxa"/>
            <w:shd w:val="clear" w:color="auto" w:fill="007BB8"/>
            <w:vAlign w:val="bottom"/>
          </w:tcPr>
          <w:p w14:paraId="781BDD03"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5,244 (35.0%)</w:t>
            </w:r>
          </w:p>
        </w:tc>
        <w:tc>
          <w:tcPr>
            <w:tcW w:w="709" w:type="dxa"/>
            <w:shd w:val="clear" w:color="auto" w:fill="007BB8"/>
          </w:tcPr>
          <w:p w14:paraId="5FFAB087"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70560921" w14:textId="77777777" w:rsidTr="00ED5868">
        <w:trPr>
          <w:trHeight w:val="205"/>
        </w:trPr>
        <w:tc>
          <w:tcPr>
            <w:tcW w:w="2251" w:type="dxa"/>
            <w:shd w:val="clear" w:color="auto" w:fill="007BB8"/>
            <w:vAlign w:val="bottom"/>
          </w:tcPr>
          <w:p w14:paraId="208191AC"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Marg. above </w:t>
            </w:r>
            <w:proofErr w:type="spellStart"/>
            <w:r w:rsidRPr="000E634F">
              <w:rPr>
                <w:rFonts w:ascii="Aptos" w:eastAsia="Aptos" w:hAnsi="Aptos" w:cs="Times New Roman"/>
                <w:color w:val="FFFFFF" w:themeColor="background1"/>
                <w:sz w:val="16"/>
                <w:szCs w:val="16"/>
                <w:lang w:val="en-IE"/>
              </w:rPr>
              <w:t>avg</w:t>
            </w:r>
            <w:proofErr w:type="spellEnd"/>
          </w:p>
        </w:tc>
        <w:tc>
          <w:tcPr>
            <w:tcW w:w="1399" w:type="dxa"/>
            <w:shd w:val="clear" w:color="auto" w:fill="007BB8"/>
            <w:vAlign w:val="bottom"/>
          </w:tcPr>
          <w:p w14:paraId="25BE2504"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12,124 (51.3%)</w:t>
            </w:r>
          </w:p>
        </w:tc>
        <w:tc>
          <w:tcPr>
            <w:tcW w:w="1561" w:type="dxa"/>
            <w:shd w:val="clear" w:color="auto" w:fill="007BB8"/>
            <w:vAlign w:val="bottom"/>
          </w:tcPr>
          <w:p w14:paraId="0A9EC068"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5,928 (39.5%)</w:t>
            </w:r>
          </w:p>
        </w:tc>
        <w:tc>
          <w:tcPr>
            <w:tcW w:w="709" w:type="dxa"/>
            <w:shd w:val="clear" w:color="auto" w:fill="007BB8"/>
          </w:tcPr>
          <w:p w14:paraId="074800DE"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7AE3CE97" w14:textId="77777777" w:rsidTr="00ED5868">
        <w:trPr>
          <w:trHeight w:val="194"/>
        </w:trPr>
        <w:tc>
          <w:tcPr>
            <w:tcW w:w="2251" w:type="dxa"/>
            <w:shd w:val="clear" w:color="auto" w:fill="007BB8"/>
            <w:vAlign w:val="bottom"/>
          </w:tcPr>
          <w:p w14:paraId="2FA937F1"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Affluent</w:t>
            </w:r>
          </w:p>
        </w:tc>
        <w:tc>
          <w:tcPr>
            <w:tcW w:w="1399" w:type="dxa"/>
            <w:shd w:val="clear" w:color="auto" w:fill="007BB8"/>
            <w:vAlign w:val="bottom"/>
          </w:tcPr>
          <w:p w14:paraId="09D3E34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4,717 (20.0%)</w:t>
            </w:r>
          </w:p>
        </w:tc>
        <w:tc>
          <w:tcPr>
            <w:tcW w:w="1561" w:type="dxa"/>
            <w:shd w:val="clear" w:color="auto" w:fill="007BB8"/>
            <w:vAlign w:val="bottom"/>
          </w:tcPr>
          <w:p w14:paraId="20C21220"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1,132 (7.6%)</w:t>
            </w:r>
          </w:p>
        </w:tc>
        <w:tc>
          <w:tcPr>
            <w:tcW w:w="709" w:type="dxa"/>
            <w:shd w:val="clear" w:color="auto" w:fill="007BB8"/>
          </w:tcPr>
          <w:p w14:paraId="503E237A"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1B9D925C" w14:textId="77777777" w:rsidTr="00ED5868">
        <w:trPr>
          <w:trHeight w:val="205"/>
        </w:trPr>
        <w:tc>
          <w:tcPr>
            <w:tcW w:w="2251" w:type="dxa"/>
            <w:shd w:val="clear" w:color="auto" w:fill="007BB8"/>
            <w:vAlign w:val="bottom"/>
          </w:tcPr>
          <w:p w14:paraId="10797DCE"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High affluence</w:t>
            </w:r>
          </w:p>
        </w:tc>
        <w:tc>
          <w:tcPr>
            <w:tcW w:w="1399" w:type="dxa"/>
            <w:shd w:val="clear" w:color="auto" w:fill="007BB8"/>
            <w:vAlign w:val="bottom"/>
          </w:tcPr>
          <w:p w14:paraId="1FDC008F"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175 (0.7%)</w:t>
            </w:r>
          </w:p>
        </w:tc>
        <w:tc>
          <w:tcPr>
            <w:tcW w:w="1561" w:type="dxa"/>
            <w:shd w:val="clear" w:color="auto" w:fill="007BB8"/>
            <w:vAlign w:val="bottom"/>
          </w:tcPr>
          <w:p w14:paraId="560E34A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54 (0.4%)</w:t>
            </w:r>
          </w:p>
        </w:tc>
        <w:tc>
          <w:tcPr>
            <w:tcW w:w="709" w:type="dxa"/>
            <w:shd w:val="clear" w:color="auto" w:fill="007BB8"/>
          </w:tcPr>
          <w:p w14:paraId="7A07E308"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58E7D652" w14:textId="77777777" w:rsidTr="00ED5868">
        <w:trPr>
          <w:trHeight w:val="194"/>
        </w:trPr>
        <w:tc>
          <w:tcPr>
            <w:tcW w:w="5920" w:type="dxa"/>
            <w:gridSpan w:val="4"/>
            <w:shd w:val="clear" w:color="auto" w:fill="007BB8"/>
            <w:vAlign w:val="bottom"/>
          </w:tcPr>
          <w:p w14:paraId="5E6B63FD" w14:textId="3F59E137" w:rsidR="00151E54" w:rsidRPr="000E634F" w:rsidRDefault="00151E54" w:rsidP="00526ED5">
            <w:pPr>
              <w:rPr>
                <w:rFonts w:ascii="Aptos" w:eastAsia="Aptos" w:hAnsi="Aptos" w:cs="Times New Roman"/>
                <w:color w:val="FFFFFF" w:themeColor="background1"/>
                <w:sz w:val="16"/>
                <w:szCs w:val="16"/>
                <w:lang w:val="en-IE"/>
              </w:rPr>
            </w:pPr>
            <w:r w:rsidRPr="000E634F">
              <w:rPr>
                <w:rFonts w:ascii="Aptos" w:eastAsia="Aptos" w:hAnsi="Aptos" w:cs="Times New Roman"/>
                <w:b/>
                <w:bCs/>
                <w:color w:val="FFFFFF" w:themeColor="background1"/>
                <w:sz w:val="16"/>
                <w:szCs w:val="16"/>
                <w:lang w:val="en-IE"/>
              </w:rPr>
              <w:t>Home address is Dublin?</w:t>
            </w:r>
          </w:p>
        </w:tc>
      </w:tr>
      <w:tr w:rsidR="000E634F" w:rsidRPr="000E634F" w14:paraId="1A890654" w14:textId="77777777" w:rsidTr="00ED5868">
        <w:trPr>
          <w:trHeight w:val="205"/>
        </w:trPr>
        <w:tc>
          <w:tcPr>
            <w:tcW w:w="2251" w:type="dxa"/>
            <w:shd w:val="clear" w:color="auto" w:fill="007BB8"/>
            <w:vAlign w:val="bottom"/>
          </w:tcPr>
          <w:p w14:paraId="5115F9D4"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Yes</w:t>
            </w:r>
          </w:p>
        </w:tc>
        <w:tc>
          <w:tcPr>
            <w:tcW w:w="1399" w:type="dxa"/>
            <w:shd w:val="clear" w:color="auto" w:fill="007BB8"/>
            <w:vAlign w:val="bottom"/>
          </w:tcPr>
          <w:p w14:paraId="531E2563"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6,748 (26.1%)</w:t>
            </w:r>
          </w:p>
        </w:tc>
        <w:tc>
          <w:tcPr>
            <w:tcW w:w="1561" w:type="dxa"/>
            <w:shd w:val="clear" w:color="auto" w:fill="007BB8"/>
            <w:vAlign w:val="bottom"/>
          </w:tcPr>
          <w:p w14:paraId="468D2BF8"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3,382 (20.5%)</w:t>
            </w:r>
          </w:p>
        </w:tc>
        <w:tc>
          <w:tcPr>
            <w:tcW w:w="709" w:type="dxa"/>
            <w:shd w:val="clear" w:color="auto" w:fill="007BB8"/>
            <w:vAlign w:val="bottom"/>
          </w:tcPr>
          <w:p w14:paraId="30DC9D3D"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45C315D9" w14:textId="77777777" w:rsidTr="00ED5868">
        <w:trPr>
          <w:trHeight w:val="194"/>
        </w:trPr>
        <w:tc>
          <w:tcPr>
            <w:tcW w:w="2251" w:type="dxa"/>
            <w:shd w:val="clear" w:color="auto" w:fill="007BB8"/>
            <w:vAlign w:val="bottom"/>
          </w:tcPr>
          <w:p w14:paraId="15C47DD7"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No</w:t>
            </w:r>
          </w:p>
        </w:tc>
        <w:tc>
          <w:tcPr>
            <w:tcW w:w="1399" w:type="dxa"/>
            <w:shd w:val="clear" w:color="auto" w:fill="007BB8"/>
            <w:vAlign w:val="bottom"/>
          </w:tcPr>
          <w:p w14:paraId="2E1C52DC"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19,068 (73.9%)</w:t>
            </w:r>
          </w:p>
        </w:tc>
        <w:tc>
          <w:tcPr>
            <w:tcW w:w="1561" w:type="dxa"/>
            <w:shd w:val="clear" w:color="auto" w:fill="007BB8"/>
            <w:vAlign w:val="bottom"/>
          </w:tcPr>
          <w:p w14:paraId="0FA38CC7"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13,126 (79.5%)</w:t>
            </w:r>
          </w:p>
        </w:tc>
        <w:tc>
          <w:tcPr>
            <w:tcW w:w="709" w:type="dxa"/>
            <w:shd w:val="clear" w:color="auto" w:fill="007BB8"/>
          </w:tcPr>
          <w:p w14:paraId="105C7361"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17AE08C9" w14:textId="77777777" w:rsidTr="00ED5868">
        <w:trPr>
          <w:trHeight w:val="205"/>
        </w:trPr>
        <w:tc>
          <w:tcPr>
            <w:tcW w:w="5920" w:type="dxa"/>
            <w:gridSpan w:val="4"/>
            <w:shd w:val="clear" w:color="auto" w:fill="007BB8"/>
            <w:vAlign w:val="bottom"/>
          </w:tcPr>
          <w:p w14:paraId="49748F66" w14:textId="58CCF11D" w:rsidR="00151E54" w:rsidRPr="000E634F" w:rsidRDefault="00151E54" w:rsidP="00526ED5">
            <w:pPr>
              <w:rPr>
                <w:rFonts w:ascii="Aptos" w:eastAsia="Aptos" w:hAnsi="Aptos" w:cs="Times New Roman"/>
                <w:color w:val="FFFFFF" w:themeColor="background1"/>
                <w:sz w:val="16"/>
                <w:szCs w:val="16"/>
                <w:lang w:val="en-IE"/>
              </w:rPr>
            </w:pPr>
            <w:r w:rsidRPr="000E634F">
              <w:rPr>
                <w:rFonts w:ascii="Aptos" w:eastAsia="Aptos" w:hAnsi="Aptos" w:cs="Times New Roman"/>
                <w:b/>
                <w:bCs/>
                <w:color w:val="FFFFFF" w:themeColor="background1"/>
                <w:sz w:val="16"/>
                <w:szCs w:val="16"/>
                <w:lang w:val="en-IE"/>
              </w:rPr>
              <w:t>Higher Education sector</w:t>
            </w:r>
          </w:p>
        </w:tc>
      </w:tr>
      <w:tr w:rsidR="000E634F" w:rsidRPr="000E634F" w14:paraId="2A58A962" w14:textId="77777777" w:rsidTr="00ED5868">
        <w:trPr>
          <w:trHeight w:val="194"/>
        </w:trPr>
        <w:tc>
          <w:tcPr>
            <w:tcW w:w="2251" w:type="dxa"/>
            <w:shd w:val="clear" w:color="auto" w:fill="007BB8"/>
            <w:vAlign w:val="bottom"/>
          </w:tcPr>
          <w:p w14:paraId="0A93BA80"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Universities &amp; </w:t>
            </w:r>
            <w:proofErr w:type="spellStart"/>
            <w:r w:rsidRPr="000E634F">
              <w:rPr>
                <w:rFonts w:ascii="Aptos" w:eastAsia="Aptos" w:hAnsi="Aptos" w:cs="Times New Roman"/>
                <w:color w:val="FFFFFF" w:themeColor="background1"/>
                <w:sz w:val="16"/>
                <w:szCs w:val="16"/>
                <w:lang w:val="en-IE"/>
              </w:rPr>
              <w:t>aff</w:t>
            </w:r>
            <w:proofErr w:type="spellEnd"/>
            <w:r w:rsidRPr="000E634F">
              <w:rPr>
                <w:rFonts w:ascii="Aptos" w:eastAsia="Aptos" w:hAnsi="Aptos" w:cs="Times New Roman"/>
                <w:color w:val="FFFFFF" w:themeColor="background1"/>
                <w:sz w:val="16"/>
                <w:szCs w:val="16"/>
                <w:lang w:val="en-IE"/>
              </w:rPr>
              <w:t>. colleges</w:t>
            </w:r>
          </w:p>
        </w:tc>
        <w:tc>
          <w:tcPr>
            <w:tcW w:w="1399" w:type="dxa"/>
            <w:shd w:val="clear" w:color="auto" w:fill="007BB8"/>
            <w:vAlign w:val="bottom"/>
          </w:tcPr>
          <w:p w14:paraId="60666BCF"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16,696 (64.7%)</w:t>
            </w:r>
          </w:p>
        </w:tc>
        <w:tc>
          <w:tcPr>
            <w:tcW w:w="1561" w:type="dxa"/>
            <w:shd w:val="clear" w:color="auto" w:fill="007BB8"/>
            <w:vAlign w:val="bottom"/>
          </w:tcPr>
          <w:p w14:paraId="5442BD96"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7,874 (47.7%)</w:t>
            </w:r>
          </w:p>
        </w:tc>
        <w:tc>
          <w:tcPr>
            <w:tcW w:w="709" w:type="dxa"/>
            <w:shd w:val="clear" w:color="auto" w:fill="007BB8"/>
            <w:vAlign w:val="bottom"/>
          </w:tcPr>
          <w:p w14:paraId="1F701815"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38B0CCB0" w14:textId="77777777" w:rsidTr="00ED5868">
        <w:trPr>
          <w:trHeight w:val="400"/>
        </w:trPr>
        <w:tc>
          <w:tcPr>
            <w:tcW w:w="2251" w:type="dxa"/>
            <w:shd w:val="clear" w:color="auto" w:fill="007BB8"/>
            <w:vAlign w:val="bottom"/>
          </w:tcPr>
          <w:p w14:paraId="2666E095"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Technical Universities, IOT's &amp; </w:t>
            </w:r>
            <w:proofErr w:type="spellStart"/>
            <w:r w:rsidRPr="000E634F">
              <w:rPr>
                <w:rFonts w:ascii="Aptos" w:eastAsia="Aptos" w:hAnsi="Aptos" w:cs="Times New Roman"/>
                <w:color w:val="FFFFFF" w:themeColor="background1"/>
                <w:sz w:val="16"/>
                <w:szCs w:val="16"/>
                <w:lang w:val="en-IE"/>
              </w:rPr>
              <w:t>aff</w:t>
            </w:r>
            <w:proofErr w:type="spellEnd"/>
            <w:r w:rsidRPr="000E634F">
              <w:rPr>
                <w:rFonts w:ascii="Aptos" w:eastAsia="Aptos" w:hAnsi="Aptos" w:cs="Times New Roman"/>
                <w:color w:val="FFFFFF" w:themeColor="background1"/>
                <w:sz w:val="16"/>
                <w:szCs w:val="16"/>
                <w:lang w:val="en-IE"/>
              </w:rPr>
              <w:t>. colleges</w:t>
            </w:r>
          </w:p>
        </w:tc>
        <w:tc>
          <w:tcPr>
            <w:tcW w:w="1399" w:type="dxa"/>
            <w:shd w:val="clear" w:color="auto" w:fill="007BB8"/>
            <w:vAlign w:val="bottom"/>
          </w:tcPr>
          <w:p w14:paraId="53C26EA6"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9,120 (35.3%)</w:t>
            </w:r>
          </w:p>
        </w:tc>
        <w:tc>
          <w:tcPr>
            <w:tcW w:w="1561" w:type="dxa"/>
            <w:shd w:val="clear" w:color="auto" w:fill="007BB8"/>
            <w:vAlign w:val="bottom"/>
          </w:tcPr>
          <w:p w14:paraId="651BAAD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8,634 (52.3%)</w:t>
            </w:r>
          </w:p>
        </w:tc>
        <w:tc>
          <w:tcPr>
            <w:tcW w:w="709" w:type="dxa"/>
            <w:shd w:val="clear" w:color="auto" w:fill="007BB8"/>
          </w:tcPr>
          <w:p w14:paraId="7175364B"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4886986B" w14:textId="77777777" w:rsidTr="00ED5868">
        <w:trPr>
          <w:trHeight w:val="205"/>
        </w:trPr>
        <w:tc>
          <w:tcPr>
            <w:tcW w:w="5920" w:type="dxa"/>
            <w:gridSpan w:val="4"/>
            <w:shd w:val="clear" w:color="auto" w:fill="007BB8"/>
            <w:vAlign w:val="bottom"/>
          </w:tcPr>
          <w:p w14:paraId="6DBB6109" w14:textId="3A2B180C" w:rsidR="00151E54" w:rsidRPr="000E634F" w:rsidRDefault="00151E54" w:rsidP="00526ED5">
            <w:pPr>
              <w:rPr>
                <w:rFonts w:ascii="Aptos" w:eastAsia="Aptos" w:hAnsi="Aptos" w:cs="Times New Roman"/>
                <w:color w:val="FFFFFF" w:themeColor="background1"/>
                <w:sz w:val="16"/>
                <w:szCs w:val="16"/>
                <w:lang w:val="en-IE"/>
              </w:rPr>
            </w:pPr>
            <w:r w:rsidRPr="000E634F">
              <w:rPr>
                <w:rFonts w:ascii="Aptos" w:eastAsia="Aptos" w:hAnsi="Aptos" w:cs="Times New Roman"/>
                <w:b/>
                <w:bCs/>
                <w:color w:val="FFFFFF" w:themeColor="background1"/>
                <w:sz w:val="16"/>
                <w:szCs w:val="16"/>
                <w:lang w:val="en-IE"/>
              </w:rPr>
              <w:t>Field of Study</w:t>
            </w:r>
          </w:p>
        </w:tc>
      </w:tr>
      <w:tr w:rsidR="000E634F" w:rsidRPr="000E634F" w14:paraId="38BAA1D5" w14:textId="77777777" w:rsidTr="00ED5868">
        <w:trPr>
          <w:trHeight w:val="205"/>
        </w:trPr>
        <w:tc>
          <w:tcPr>
            <w:tcW w:w="2251" w:type="dxa"/>
            <w:shd w:val="clear" w:color="auto" w:fill="007BB8"/>
            <w:vAlign w:val="bottom"/>
          </w:tcPr>
          <w:p w14:paraId="6E922E57"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Agriculture</w:t>
            </w:r>
          </w:p>
        </w:tc>
        <w:tc>
          <w:tcPr>
            <w:tcW w:w="1399" w:type="dxa"/>
            <w:shd w:val="clear" w:color="auto" w:fill="007BB8"/>
            <w:vAlign w:val="bottom"/>
          </w:tcPr>
          <w:p w14:paraId="7908A7E7"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671 (2.6%)</w:t>
            </w:r>
          </w:p>
        </w:tc>
        <w:tc>
          <w:tcPr>
            <w:tcW w:w="1561" w:type="dxa"/>
            <w:shd w:val="clear" w:color="auto" w:fill="007BB8"/>
            <w:vAlign w:val="bottom"/>
          </w:tcPr>
          <w:p w14:paraId="5C1E4320"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301 (1.8%)</w:t>
            </w:r>
          </w:p>
        </w:tc>
        <w:tc>
          <w:tcPr>
            <w:tcW w:w="709" w:type="dxa"/>
            <w:shd w:val="clear" w:color="auto" w:fill="007BB8"/>
            <w:vAlign w:val="bottom"/>
          </w:tcPr>
          <w:p w14:paraId="1002065C"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4DAB7441" w14:textId="77777777" w:rsidTr="00ED5868">
        <w:trPr>
          <w:trHeight w:val="194"/>
        </w:trPr>
        <w:tc>
          <w:tcPr>
            <w:tcW w:w="2251" w:type="dxa"/>
            <w:shd w:val="clear" w:color="auto" w:fill="007BB8"/>
            <w:vAlign w:val="bottom"/>
          </w:tcPr>
          <w:p w14:paraId="6ADF3ADF"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Arts</w:t>
            </w:r>
          </w:p>
        </w:tc>
        <w:tc>
          <w:tcPr>
            <w:tcW w:w="1399" w:type="dxa"/>
            <w:shd w:val="clear" w:color="auto" w:fill="007BB8"/>
            <w:vAlign w:val="bottom"/>
          </w:tcPr>
          <w:p w14:paraId="10E27CB1"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4,557 (17.7%)</w:t>
            </w:r>
          </w:p>
        </w:tc>
        <w:tc>
          <w:tcPr>
            <w:tcW w:w="1561" w:type="dxa"/>
            <w:shd w:val="clear" w:color="auto" w:fill="007BB8"/>
            <w:vAlign w:val="bottom"/>
          </w:tcPr>
          <w:p w14:paraId="5BD6598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3,144 (19.0%)</w:t>
            </w:r>
          </w:p>
        </w:tc>
        <w:tc>
          <w:tcPr>
            <w:tcW w:w="709" w:type="dxa"/>
            <w:shd w:val="clear" w:color="auto" w:fill="007BB8"/>
          </w:tcPr>
          <w:p w14:paraId="493692D3"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2CB6A36E" w14:textId="77777777" w:rsidTr="00ED5868">
        <w:trPr>
          <w:trHeight w:val="205"/>
        </w:trPr>
        <w:tc>
          <w:tcPr>
            <w:tcW w:w="2251" w:type="dxa"/>
            <w:shd w:val="clear" w:color="auto" w:fill="007BB8"/>
            <w:vAlign w:val="bottom"/>
          </w:tcPr>
          <w:p w14:paraId="4597C604"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Business</w:t>
            </w:r>
          </w:p>
        </w:tc>
        <w:tc>
          <w:tcPr>
            <w:tcW w:w="1399" w:type="dxa"/>
            <w:shd w:val="clear" w:color="auto" w:fill="007BB8"/>
            <w:vAlign w:val="bottom"/>
          </w:tcPr>
          <w:p w14:paraId="6A947093"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5,219 (20.2%)</w:t>
            </w:r>
          </w:p>
        </w:tc>
        <w:tc>
          <w:tcPr>
            <w:tcW w:w="1561" w:type="dxa"/>
            <w:shd w:val="clear" w:color="auto" w:fill="007BB8"/>
            <w:vAlign w:val="bottom"/>
          </w:tcPr>
          <w:p w14:paraId="5BAFB189"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3,052 (18.5%)</w:t>
            </w:r>
          </w:p>
        </w:tc>
        <w:tc>
          <w:tcPr>
            <w:tcW w:w="709" w:type="dxa"/>
            <w:shd w:val="clear" w:color="auto" w:fill="007BB8"/>
          </w:tcPr>
          <w:p w14:paraId="7E3AB174"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561A2F21" w14:textId="77777777" w:rsidTr="00ED5868">
        <w:trPr>
          <w:trHeight w:val="194"/>
        </w:trPr>
        <w:tc>
          <w:tcPr>
            <w:tcW w:w="2251" w:type="dxa"/>
            <w:shd w:val="clear" w:color="auto" w:fill="007BB8"/>
            <w:vAlign w:val="bottom"/>
          </w:tcPr>
          <w:p w14:paraId="75A88933"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Education</w:t>
            </w:r>
          </w:p>
        </w:tc>
        <w:tc>
          <w:tcPr>
            <w:tcW w:w="1399" w:type="dxa"/>
            <w:shd w:val="clear" w:color="auto" w:fill="007BB8"/>
            <w:vAlign w:val="bottom"/>
          </w:tcPr>
          <w:p w14:paraId="5DA46C5A"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1,496 (5.8%)</w:t>
            </w:r>
          </w:p>
        </w:tc>
        <w:tc>
          <w:tcPr>
            <w:tcW w:w="1561" w:type="dxa"/>
            <w:shd w:val="clear" w:color="auto" w:fill="007BB8"/>
            <w:vAlign w:val="bottom"/>
          </w:tcPr>
          <w:p w14:paraId="07DD983C"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858 (5.2%)</w:t>
            </w:r>
          </w:p>
        </w:tc>
        <w:tc>
          <w:tcPr>
            <w:tcW w:w="709" w:type="dxa"/>
            <w:shd w:val="clear" w:color="auto" w:fill="007BB8"/>
          </w:tcPr>
          <w:p w14:paraId="5B25D99C"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5D7CCFCC" w14:textId="77777777" w:rsidTr="00ED5868">
        <w:trPr>
          <w:trHeight w:val="205"/>
        </w:trPr>
        <w:tc>
          <w:tcPr>
            <w:tcW w:w="2251" w:type="dxa"/>
            <w:shd w:val="clear" w:color="auto" w:fill="007BB8"/>
            <w:vAlign w:val="bottom"/>
          </w:tcPr>
          <w:p w14:paraId="458EEFB0"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Engineering</w:t>
            </w:r>
          </w:p>
        </w:tc>
        <w:tc>
          <w:tcPr>
            <w:tcW w:w="1399" w:type="dxa"/>
            <w:shd w:val="clear" w:color="auto" w:fill="007BB8"/>
            <w:vAlign w:val="bottom"/>
          </w:tcPr>
          <w:p w14:paraId="178DFF98"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3,319 (12.9%)</w:t>
            </w:r>
          </w:p>
        </w:tc>
        <w:tc>
          <w:tcPr>
            <w:tcW w:w="1561" w:type="dxa"/>
            <w:shd w:val="clear" w:color="auto" w:fill="007BB8"/>
            <w:vAlign w:val="bottom"/>
          </w:tcPr>
          <w:p w14:paraId="3D9316BA"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1,936 (11.7%)</w:t>
            </w:r>
          </w:p>
        </w:tc>
        <w:tc>
          <w:tcPr>
            <w:tcW w:w="709" w:type="dxa"/>
            <w:shd w:val="clear" w:color="auto" w:fill="007BB8"/>
          </w:tcPr>
          <w:p w14:paraId="4EDBB35D"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637C991A" w14:textId="77777777" w:rsidTr="00ED5868">
        <w:trPr>
          <w:trHeight w:val="194"/>
        </w:trPr>
        <w:tc>
          <w:tcPr>
            <w:tcW w:w="2251" w:type="dxa"/>
            <w:shd w:val="clear" w:color="auto" w:fill="007BB8"/>
            <w:vAlign w:val="bottom"/>
          </w:tcPr>
          <w:p w14:paraId="183CBD39"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Generic Prog</w:t>
            </w:r>
          </w:p>
        </w:tc>
        <w:tc>
          <w:tcPr>
            <w:tcW w:w="1399" w:type="dxa"/>
            <w:shd w:val="clear" w:color="auto" w:fill="007BB8"/>
            <w:vAlign w:val="bottom"/>
          </w:tcPr>
          <w:p w14:paraId="6D33EDB3"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 (0.0%)</w:t>
            </w:r>
          </w:p>
        </w:tc>
        <w:tc>
          <w:tcPr>
            <w:tcW w:w="1561" w:type="dxa"/>
            <w:shd w:val="clear" w:color="auto" w:fill="007BB8"/>
            <w:vAlign w:val="bottom"/>
          </w:tcPr>
          <w:p w14:paraId="7C32DC7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 (0.0%)</w:t>
            </w:r>
          </w:p>
        </w:tc>
        <w:tc>
          <w:tcPr>
            <w:tcW w:w="709" w:type="dxa"/>
            <w:shd w:val="clear" w:color="auto" w:fill="007BB8"/>
          </w:tcPr>
          <w:p w14:paraId="4641C057"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0222EC89" w14:textId="77777777" w:rsidTr="00ED5868">
        <w:trPr>
          <w:trHeight w:val="205"/>
        </w:trPr>
        <w:tc>
          <w:tcPr>
            <w:tcW w:w="2251" w:type="dxa"/>
            <w:shd w:val="clear" w:color="auto" w:fill="007BB8"/>
            <w:vAlign w:val="bottom"/>
          </w:tcPr>
          <w:p w14:paraId="3E0A6FEF"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Health</w:t>
            </w:r>
          </w:p>
        </w:tc>
        <w:tc>
          <w:tcPr>
            <w:tcW w:w="1399" w:type="dxa"/>
            <w:shd w:val="clear" w:color="auto" w:fill="007BB8"/>
            <w:vAlign w:val="bottom"/>
          </w:tcPr>
          <w:p w14:paraId="3174F679"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3,333 (12.9%)</w:t>
            </w:r>
          </w:p>
        </w:tc>
        <w:tc>
          <w:tcPr>
            <w:tcW w:w="1561" w:type="dxa"/>
            <w:shd w:val="clear" w:color="auto" w:fill="007BB8"/>
            <w:vAlign w:val="bottom"/>
          </w:tcPr>
          <w:p w14:paraId="6F2040D8"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2,467 (14.9%)</w:t>
            </w:r>
          </w:p>
        </w:tc>
        <w:tc>
          <w:tcPr>
            <w:tcW w:w="709" w:type="dxa"/>
            <w:shd w:val="clear" w:color="auto" w:fill="007BB8"/>
          </w:tcPr>
          <w:p w14:paraId="436483D9"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68C3AEF5" w14:textId="77777777" w:rsidTr="00ED5868">
        <w:trPr>
          <w:trHeight w:val="194"/>
        </w:trPr>
        <w:tc>
          <w:tcPr>
            <w:tcW w:w="2251" w:type="dxa"/>
            <w:shd w:val="clear" w:color="auto" w:fill="007BB8"/>
            <w:vAlign w:val="bottom"/>
          </w:tcPr>
          <w:p w14:paraId="10D8E8F0"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ICT</w:t>
            </w:r>
          </w:p>
        </w:tc>
        <w:tc>
          <w:tcPr>
            <w:tcW w:w="1399" w:type="dxa"/>
            <w:shd w:val="clear" w:color="auto" w:fill="007BB8"/>
            <w:vAlign w:val="bottom"/>
          </w:tcPr>
          <w:p w14:paraId="6C6CF64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1,494 (5.8%)</w:t>
            </w:r>
          </w:p>
        </w:tc>
        <w:tc>
          <w:tcPr>
            <w:tcW w:w="1561" w:type="dxa"/>
            <w:shd w:val="clear" w:color="auto" w:fill="007BB8"/>
            <w:vAlign w:val="bottom"/>
          </w:tcPr>
          <w:p w14:paraId="2B30463A"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1,313 (8.0%)</w:t>
            </w:r>
          </w:p>
        </w:tc>
        <w:tc>
          <w:tcPr>
            <w:tcW w:w="709" w:type="dxa"/>
            <w:shd w:val="clear" w:color="auto" w:fill="007BB8"/>
          </w:tcPr>
          <w:p w14:paraId="7602E979"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0EB5072F" w14:textId="77777777" w:rsidTr="00ED5868">
        <w:trPr>
          <w:trHeight w:val="205"/>
        </w:trPr>
        <w:tc>
          <w:tcPr>
            <w:tcW w:w="2251" w:type="dxa"/>
            <w:shd w:val="clear" w:color="auto" w:fill="007BB8"/>
            <w:vAlign w:val="bottom"/>
          </w:tcPr>
          <w:p w14:paraId="361BCB57"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Natural Sciences</w:t>
            </w:r>
          </w:p>
        </w:tc>
        <w:tc>
          <w:tcPr>
            <w:tcW w:w="1399" w:type="dxa"/>
            <w:shd w:val="clear" w:color="auto" w:fill="007BB8"/>
            <w:vAlign w:val="bottom"/>
          </w:tcPr>
          <w:p w14:paraId="63549661"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3,169 (12.3%)</w:t>
            </w:r>
          </w:p>
        </w:tc>
        <w:tc>
          <w:tcPr>
            <w:tcW w:w="1561" w:type="dxa"/>
            <w:shd w:val="clear" w:color="auto" w:fill="007BB8"/>
            <w:vAlign w:val="bottom"/>
          </w:tcPr>
          <w:p w14:paraId="3F19F5E8"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1,701 (10.3%)</w:t>
            </w:r>
          </w:p>
        </w:tc>
        <w:tc>
          <w:tcPr>
            <w:tcW w:w="709" w:type="dxa"/>
            <w:shd w:val="clear" w:color="auto" w:fill="007BB8"/>
          </w:tcPr>
          <w:p w14:paraId="61FBA9FC"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448A98BF" w14:textId="77777777" w:rsidTr="00ED5868">
        <w:trPr>
          <w:trHeight w:val="194"/>
        </w:trPr>
        <w:tc>
          <w:tcPr>
            <w:tcW w:w="2251" w:type="dxa"/>
            <w:shd w:val="clear" w:color="auto" w:fill="007BB8"/>
            <w:vAlign w:val="bottom"/>
          </w:tcPr>
          <w:p w14:paraId="51E1595C"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Services</w:t>
            </w:r>
          </w:p>
        </w:tc>
        <w:tc>
          <w:tcPr>
            <w:tcW w:w="1399" w:type="dxa"/>
            <w:shd w:val="clear" w:color="auto" w:fill="007BB8"/>
            <w:vAlign w:val="bottom"/>
          </w:tcPr>
          <w:p w14:paraId="4D2DFC9B"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785 (3.0%)</w:t>
            </w:r>
          </w:p>
        </w:tc>
        <w:tc>
          <w:tcPr>
            <w:tcW w:w="1561" w:type="dxa"/>
            <w:shd w:val="clear" w:color="auto" w:fill="007BB8"/>
            <w:vAlign w:val="bottom"/>
          </w:tcPr>
          <w:p w14:paraId="7840AC8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757 (4.6%)</w:t>
            </w:r>
          </w:p>
        </w:tc>
        <w:tc>
          <w:tcPr>
            <w:tcW w:w="709" w:type="dxa"/>
            <w:shd w:val="clear" w:color="auto" w:fill="007BB8"/>
          </w:tcPr>
          <w:p w14:paraId="6426EE23"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7B29C1BD" w14:textId="77777777" w:rsidTr="00ED5868">
        <w:trPr>
          <w:trHeight w:val="205"/>
        </w:trPr>
        <w:tc>
          <w:tcPr>
            <w:tcW w:w="2251" w:type="dxa"/>
            <w:shd w:val="clear" w:color="auto" w:fill="007BB8"/>
            <w:vAlign w:val="bottom"/>
          </w:tcPr>
          <w:p w14:paraId="14129DAC"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Social Sciences</w:t>
            </w:r>
          </w:p>
        </w:tc>
        <w:tc>
          <w:tcPr>
            <w:tcW w:w="1399" w:type="dxa"/>
            <w:shd w:val="clear" w:color="auto" w:fill="007BB8"/>
            <w:vAlign w:val="bottom"/>
          </w:tcPr>
          <w:p w14:paraId="2937917F"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1,770 (6.9%)</w:t>
            </w:r>
          </w:p>
        </w:tc>
        <w:tc>
          <w:tcPr>
            <w:tcW w:w="1561" w:type="dxa"/>
            <w:shd w:val="clear" w:color="auto" w:fill="007BB8"/>
            <w:vAlign w:val="bottom"/>
          </w:tcPr>
          <w:p w14:paraId="53D58FF3"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977 (5.9%)</w:t>
            </w:r>
          </w:p>
        </w:tc>
        <w:tc>
          <w:tcPr>
            <w:tcW w:w="709" w:type="dxa"/>
            <w:shd w:val="clear" w:color="auto" w:fill="007BB8"/>
          </w:tcPr>
          <w:p w14:paraId="43003CD0"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7BAC261D" w14:textId="77777777" w:rsidTr="00ED5868">
        <w:trPr>
          <w:trHeight w:val="205"/>
        </w:trPr>
        <w:tc>
          <w:tcPr>
            <w:tcW w:w="5920" w:type="dxa"/>
            <w:gridSpan w:val="4"/>
            <w:shd w:val="clear" w:color="auto" w:fill="007BB8"/>
            <w:vAlign w:val="bottom"/>
          </w:tcPr>
          <w:p w14:paraId="0E0F4A90" w14:textId="413AE41C" w:rsidR="00151E54" w:rsidRPr="000E634F" w:rsidRDefault="00151E54" w:rsidP="00526ED5">
            <w:pPr>
              <w:rPr>
                <w:rFonts w:ascii="Aptos" w:eastAsia="Aptos" w:hAnsi="Aptos" w:cs="Times New Roman"/>
                <w:color w:val="FFFFFF" w:themeColor="background1"/>
                <w:sz w:val="16"/>
                <w:szCs w:val="16"/>
                <w:lang w:val="en-IE"/>
              </w:rPr>
            </w:pPr>
            <w:r w:rsidRPr="000E634F">
              <w:rPr>
                <w:rFonts w:ascii="Aptos" w:eastAsia="Aptos" w:hAnsi="Aptos" w:cs="Times New Roman"/>
                <w:b/>
                <w:bCs/>
                <w:color w:val="FFFFFF" w:themeColor="background1"/>
                <w:sz w:val="16"/>
                <w:szCs w:val="16"/>
                <w:lang w:val="en-IE"/>
              </w:rPr>
              <w:t>Entry Basis</w:t>
            </w:r>
          </w:p>
        </w:tc>
      </w:tr>
      <w:tr w:rsidR="000E634F" w:rsidRPr="000E634F" w14:paraId="23747ECD" w14:textId="77777777" w:rsidTr="00ED5868">
        <w:trPr>
          <w:trHeight w:val="177"/>
        </w:trPr>
        <w:tc>
          <w:tcPr>
            <w:tcW w:w="2251" w:type="dxa"/>
            <w:shd w:val="clear" w:color="auto" w:fill="007BB8"/>
            <w:vAlign w:val="bottom"/>
          </w:tcPr>
          <w:p w14:paraId="163F2265" w14:textId="61F14C4D"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w:t>
            </w:r>
            <w:r w:rsidR="00D11B97" w:rsidRPr="000E634F">
              <w:rPr>
                <w:rFonts w:ascii="Aptos" w:eastAsia="Aptos" w:hAnsi="Aptos" w:cs="Times New Roman"/>
                <w:color w:val="FFFFFF" w:themeColor="background1"/>
                <w:sz w:val="16"/>
                <w:szCs w:val="16"/>
                <w:lang w:val="en-IE"/>
              </w:rPr>
              <w:t>Second</w:t>
            </w:r>
            <w:r w:rsidRPr="000E634F">
              <w:rPr>
                <w:rFonts w:ascii="Aptos" w:eastAsia="Aptos" w:hAnsi="Aptos" w:cs="Times New Roman"/>
                <w:color w:val="FFFFFF" w:themeColor="background1"/>
                <w:sz w:val="16"/>
                <w:szCs w:val="16"/>
                <w:lang w:val="en-IE"/>
              </w:rPr>
              <w:t xml:space="preserve"> level leaving exams</w:t>
            </w:r>
          </w:p>
        </w:tc>
        <w:tc>
          <w:tcPr>
            <w:tcW w:w="1399" w:type="dxa"/>
            <w:shd w:val="clear" w:color="auto" w:fill="007BB8"/>
            <w:vAlign w:val="bottom"/>
          </w:tcPr>
          <w:p w14:paraId="0F1739E9"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20,721 (80.3%)</w:t>
            </w:r>
          </w:p>
        </w:tc>
        <w:tc>
          <w:tcPr>
            <w:tcW w:w="1561" w:type="dxa"/>
            <w:shd w:val="clear" w:color="auto" w:fill="007BB8"/>
            <w:vAlign w:val="bottom"/>
          </w:tcPr>
          <w:p w14:paraId="0915627C"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10,536 (63.8%)</w:t>
            </w:r>
          </w:p>
        </w:tc>
        <w:tc>
          <w:tcPr>
            <w:tcW w:w="709" w:type="dxa"/>
            <w:shd w:val="clear" w:color="auto" w:fill="007BB8"/>
            <w:vAlign w:val="bottom"/>
          </w:tcPr>
          <w:p w14:paraId="146FE36D"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4F64092F" w14:textId="77777777" w:rsidTr="00ED5868">
        <w:trPr>
          <w:trHeight w:val="237"/>
        </w:trPr>
        <w:tc>
          <w:tcPr>
            <w:tcW w:w="2251" w:type="dxa"/>
            <w:shd w:val="clear" w:color="auto" w:fill="007BB8"/>
            <w:vAlign w:val="bottom"/>
          </w:tcPr>
          <w:p w14:paraId="47314CC6" w14:textId="21725DFE" w:rsidR="00526ED5" w:rsidRPr="000E634F" w:rsidRDefault="00602AAF"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w:t>
            </w:r>
            <w:r w:rsidR="00526ED5" w:rsidRPr="000E634F">
              <w:rPr>
                <w:rFonts w:ascii="Aptos" w:eastAsia="Aptos" w:hAnsi="Aptos" w:cs="Times New Roman"/>
                <w:color w:val="FFFFFF" w:themeColor="background1"/>
                <w:sz w:val="16"/>
                <w:szCs w:val="16"/>
                <w:lang w:val="en-IE"/>
              </w:rPr>
              <w:t xml:space="preserve">Access/Foundation </w:t>
            </w:r>
          </w:p>
        </w:tc>
        <w:tc>
          <w:tcPr>
            <w:tcW w:w="1399" w:type="dxa"/>
            <w:shd w:val="clear" w:color="auto" w:fill="007BB8"/>
            <w:vAlign w:val="bottom"/>
          </w:tcPr>
          <w:p w14:paraId="495B1AA6"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194 (0.8%)</w:t>
            </w:r>
          </w:p>
        </w:tc>
        <w:tc>
          <w:tcPr>
            <w:tcW w:w="1561" w:type="dxa"/>
            <w:shd w:val="clear" w:color="auto" w:fill="007BB8"/>
            <w:vAlign w:val="bottom"/>
          </w:tcPr>
          <w:p w14:paraId="471A4086"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226 (1.4%)</w:t>
            </w:r>
          </w:p>
        </w:tc>
        <w:tc>
          <w:tcPr>
            <w:tcW w:w="709" w:type="dxa"/>
            <w:shd w:val="clear" w:color="auto" w:fill="007BB8"/>
          </w:tcPr>
          <w:p w14:paraId="552A35F0"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02DCF287" w14:textId="77777777" w:rsidTr="00ED5868">
        <w:trPr>
          <w:trHeight w:val="194"/>
        </w:trPr>
        <w:tc>
          <w:tcPr>
            <w:tcW w:w="2251" w:type="dxa"/>
            <w:shd w:val="clear" w:color="auto" w:fill="007BB8"/>
            <w:vAlign w:val="bottom"/>
          </w:tcPr>
          <w:p w14:paraId="4BC1377A"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DARE</w:t>
            </w:r>
          </w:p>
        </w:tc>
        <w:tc>
          <w:tcPr>
            <w:tcW w:w="1399" w:type="dxa"/>
            <w:shd w:val="clear" w:color="auto" w:fill="007BB8"/>
            <w:vAlign w:val="bottom"/>
          </w:tcPr>
          <w:p w14:paraId="4E7A1045"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1,822 (7.1%)</w:t>
            </w:r>
          </w:p>
        </w:tc>
        <w:tc>
          <w:tcPr>
            <w:tcW w:w="1561" w:type="dxa"/>
            <w:shd w:val="clear" w:color="auto" w:fill="007BB8"/>
            <w:vAlign w:val="bottom"/>
          </w:tcPr>
          <w:p w14:paraId="3BCF15D0"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662 (4.0%)</w:t>
            </w:r>
          </w:p>
        </w:tc>
        <w:tc>
          <w:tcPr>
            <w:tcW w:w="709" w:type="dxa"/>
            <w:shd w:val="clear" w:color="auto" w:fill="007BB8"/>
          </w:tcPr>
          <w:p w14:paraId="128491E0"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39FFB44F" w14:textId="77777777" w:rsidTr="00ED5868">
        <w:trPr>
          <w:trHeight w:val="205"/>
        </w:trPr>
        <w:tc>
          <w:tcPr>
            <w:tcW w:w="2251" w:type="dxa"/>
            <w:shd w:val="clear" w:color="auto" w:fill="007BB8"/>
            <w:vAlign w:val="bottom"/>
          </w:tcPr>
          <w:p w14:paraId="7150E8B3"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Direct Entry</w:t>
            </w:r>
          </w:p>
        </w:tc>
        <w:tc>
          <w:tcPr>
            <w:tcW w:w="1399" w:type="dxa"/>
            <w:shd w:val="clear" w:color="auto" w:fill="007BB8"/>
            <w:vAlign w:val="bottom"/>
          </w:tcPr>
          <w:p w14:paraId="47FC1C0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474 (1.8%)</w:t>
            </w:r>
          </w:p>
        </w:tc>
        <w:tc>
          <w:tcPr>
            <w:tcW w:w="1561" w:type="dxa"/>
            <w:shd w:val="clear" w:color="auto" w:fill="007BB8"/>
            <w:vAlign w:val="bottom"/>
          </w:tcPr>
          <w:p w14:paraId="2DCD2DC3"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202 (1.2%)</w:t>
            </w:r>
          </w:p>
        </w:tc>
        <w:tc>
          <w:tcPr>
            <w:tcW w:w="709" w:type="dxa"/>
            <w:shd w:val="clear" w:color="auto" w:fill="007BB8"/>
          </w:tcPr>
          <w:p w14:paraId="3361622A"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61EE989F" w14:textId="77777777" w:rsidTr="00ED5868">
        <w:trPr>
          <w:trHeight w:val="194"/>
        </w:trPr>
        <w:tc>
          <w:tcPr>
            <w:tcW w:w="2251" w:type="dxa"/>
            <w:shd w:val="clear" w:color="auto" w:fill="007BB8"/>
            <w:vAlign w:val="bottom"/>
          </w:tcPr>
          <w:p w14:paraId="21B50661"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Further Education Award</w:t>
            </w:r>
          </w:p>
        </w:tc>
        <w:tc>
          <w:tcPr>
            <w:tcW w:w="1399" w:type="dxa"/>
            <w:shd w:val="clear" w:color="auto" w:fill="007BB8"/>
            <w:vAlign w:val="bottom"/>
          </w:tcPr>
          <w:p w14:paraId="38C27C3F"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1,085 (4.2%)</w:t>
            </w:r>
          </w:p>
        </w:tc>
        <w:tc>
          <w:tcPr>
            <w:tcW w:w="1561" w:type="dxa"/>
            <w:shd w:val="clear" w:color="auto" w:fill="007BB8"/>
            <w:vAlign w:val="bottom"/>
          </w:tcPr>
          <w:p w14:paraId="182561E5"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1,430 (8.7%)</w:t>
            </w:r>
          </w:p>
        </w:tc>
        <w:tc>
          <w:tcPr>
            <w:tcW w:w="709" w:type="dxa"/>
            <w:shd w:val="clear" w:color="auto" w:fill="007BB8"/>
          </w:tcPr>
          <w:p w14:paraId="6D293BF8"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3F2504F2" w14:textId="77777777" w:rsidTr="00ED5868">
        <w:trPr>
          <w:trHeight w:val="205"/>
        </w:trPr>
        <w:tc>
          <w:tcPr>
            <w:tcW w:w="2251" w:type="dxa"/>
            <w:shd w:val="clear" w:color="auto" w:fill="007BB8"/>
            <w:vAlign w:val="bottom"/>
          </w:tcPr>
          <w:p w14:paraId="1961EB99"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HEAR</w:t>
            </w:r>
          </w:p>
        </w:tc>
        <w:tc>
          <w:tcPr>
            <w:tcW w:w="1399" w:type="dxa"/>
            <w:shd w:val="clear" w:color="auto" w:fill="007BB8"/>
            <w:vAlign w:val="bottom"/>
          </w:tcPr>
          <w:p w14:paraId="5C980C45"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72 (0.3%)</w:t>
            </w:r>
          </w:p>
        </w:tc>
        <w:tc>
          <w:tcPr>
            <w:tcW w:w="1561" w:type="dxa"/>
            <w:shd w:val="clear" w:color="auto" w:fill="007BB8"/>
            <w:vAlign w:val="bottom"/>
          </w:tcPr>
          <w:p w14:paraId="501B9C0A"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2,003 (12.1%)</w:t>
            </w:r>
          </w:p>
        </w:tc>
        <w:tc>
          <w:tcPr>
            <w:tcW w:w="709" w:type="dxa"/>
            <w:shd w:val="clear" w:color="auto" w:fill="007BB8"/>
          </w:tcPr>
          <w:p w14:paraId="4E3E17D4"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430CC6E7" w14:textId="77777777" w:rsidTr="00ED5868">
        <w:trPr>
          <w:trHeight w:val="205"/>
        </w:trPr>
        <w:tc>
          <w:tcPr>
            <w:tcW w:w="2251" w:type="dxa"/>
            <w:shd w:val="clear" w:color="auto" w:fill="007BB8"/>
            <w:vAlign w:val="bottom"/>
          </w:tcPr>
          <w:p w14:paraId="0A3B8518"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Mature Years</w:t>
            </w:r>
          </w:p>
        </w:tc>
        <w:tc>
          <w:tcPr>
            <w:tcW w:w="1399" w:type="dxa"/>
            <w:shd w:val="clear" w:color="auto" w:fill="007BB8"/>
            <w:vAlign w:val="bottom"/>
          </w:tcPr>
          <w:p w14:paraId="286DA0A5"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854 (3.3%)</w:t>
            </w:r>
          </w:p>
        </w:tc>
        <w:tc>
          <w:tcPr>
            <w:tcW w:w="1561" w:type="dxa"/>
            <w:shd w:val="clear" w:color="auto" w:fill="007BB8"/>
            <w:vAlign w:val="bottom"/>
          </w:tcPr>
          <w:p w14:paraId="10B892E4"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1,046 (6.3%)</w:t>
            </w:r>
          </w:p>
        </w:tc>
        <w:tc>
          <w:tcPr>
            <w:tcW w:w="709" w:type="dxa"/>
            <w:shd w:val="clear" w:color="auto" w:fill="007BB8"/>
          </w:tcPr>
          <w:p w14:paraId="13E7EA1B"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6CB01B91" w14:textId="77777777" w:rsidTr="00ED5868">
        <w:trPr>
          <w:trHeight w:val="194"/>
        </w:trPr>
        <w:tc>
          <w:tcPr>
            <w:tcW w:w="2251" w:type="dxa"/>
            <w:shd w:val="clear" w:color="auto" w:fill="007BB8"/>
            <w:vAlign w:val="bottom"/>
          </w:tcPr>
          <w:p w14:paraId="5C37757E"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Not given</w:t>
            </w:r>
          </w:p>
        </w:tc>
        <w:tc>
          <w:tcPr>
            <w:tcW w:w="1399" w:type="dxa"/>
            <w:shd w:val="clear" w:color="auto" w:fill="007BB8"/>
            <w:vAlign w:val="bottom"/>
          </w:tcPr>
          <w:p w14:paraId="56A339FD"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14 (0.1%)</w:t>
            </w:r>
          </w:p>
        </w:tc>
        <w:tc>
          <w:tcPr>
            <w:tcW w:w="1561" w:type="dxa"/>
            <w:shd w:val="clear" w:color="auto" w:fill="007BB8"/>
            <w:vAlign w:val="bottom"/>
          </w:tcPr>
          <w:p w14:paraId="4EF4893C"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0 (0.0%)</w:t>
            </w:r>
          </w:p>
        </w:tc>
        <w:tc>
          <w:tcPr>
            <w:tcW w:w="709" w:type="dxa"/>
            <w:shd w:val="clear" w:color="auto" w:fill="007BB8"/>
          </w:tcPr>
          <w:p w14:paraId="164192F9"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66B9F03D" w14:textId="77777777" w:rsidTr="00ED5868">
        <w:trPr>
          <w:trHeight w:val="205"/>
        </w:trPr>
        <w:tc>
          <w:tcPr>
            <w:tcW w:w="2251" w:type="dxa"/>
            <w:shd w:val="clear" w:color="auto" w:fill="007BB8"/>
            <w:vAlign w:val="bottom"/>
          </w:tcPr>
          <w:p w14:paraId="3B1E83F6"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Other</w:t>
            </w:r>
          </w:p>
        </w:tc>
        <w:tc>
          <w:tcPr>
            <w:tcW w:w="1399" w:type="dxa"/>
            <w:shd w:val="clear" w:color="auto" w:fill="007BB8"/>
            <w:vAlign w:val="bottom"/>
          </w:tcPr>
          <w:p w14:paraId="1CB938A1"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580 (2.2%)</w:t>
            </w:r>
          </w:p>
        </w:tc>
        <w:tc>
          <w:tcPr>
            <w:tcW w:w="1561" w:type="dxa"/>
            <w:shd w:val="clear" w:color="auto" w:fill="007BB8"/>
            <w:vAlign w:val="bottom"/>
          </w:tcPr>
          <w:p w14:paraId="08BE3E2D"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403 (2.4%)</w:t>
            </w:r>
          </w:p>
        </w:tc>
        <w:tc>
          <w:tcPr>
            <w:tcW w:w="709" w:type="dxa"/>
            <w:shd w:val="clear" w:color="auto" w:fill="007BB8"/>
          </w:tcPr>
          <w:p w14:paraId="0563F4FB"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0B7C25FC" w14:textId="77777777" w:rsidTr="00ED5868">
        <w:trPr>
          <w:trHeight w:val="163"/>
        </w:trPr>
        <w:tc>
          <w:tcPr>
            <w:tcW w:w="5920" w:type="dxa"/>
            <w:gridSpan w:val="4"/>
            <w:shd w:val="clear" w:color="auto" w:fill="007BB8"/>
            <w:vAlign w:val="bottom"/>
          </w:tcPr>
          <w:p w14:paraId="0A2368E7" w14:textId="2F299FF4" w:rsidR="00151E54" w:rsidRPr="000E634F" w:rsidRDefault="00151E54" w:rsidP="00526ED5">
            <w:pPr>
              <w:rPr>
                <w:rFonts w:ascii="Aptos" w:eastAsia="Aptos" w:hAnsi="Aptos" w:cs="Times New Roman"/>
                <w:color w:val="FFFFFF" w:themeColor="background1"/>
                <w:sz w:val="16"/>
                <w:szCs w:val="16"/>
                <w:lang w:val="en-IE"/>
              </w:rPr>
            </w:pPr>
            <w:r w:rsidRPr="000E634F">
              <w:rPr>
                <w:rFonts w:ascii="Aptos" w:eastAsia="Aptos" w:hAnsi="Aptos" w:cs="Times New Roman"/>
                <w:b/>
                <w:bCs/>
                <w:color w:val="FFFFFF" w:themeColor="background1"/>
                <w:sz w:val="16"/>
                <w:szCs w:val="16"/>
                <w:lang w:val="en-IE"/>
              </w:rPr>
              <w:t>Distance from College</w:t>
            </w:r>
          </w:p>
        </w:tc>
      </w:tr>
      <w:tr w:rsidR="000E634F" w:rsidRPr="000E634F" w14:paraId="0CA78BCB" w14:textId="77777777" w:rsidTr="00ED5868">
        <w:trPr>
          <w:trHeight w:val="194"/>
        </w:trPr>
        <w:tc>
          <w:tcPr>
            <w:tcW w:w="2251" w:type="dxa"/>
            <w:shd w:val="clear" w:color="auto" w:fill="007BB8"/>
            <w:vAlign w:val="bottom"/>
          </w:tcPr>
          <w:p w14:paraId="34C9F3A3"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Less than 15km</w:t>
            </w:r>
          </w:p>
        </w:tc>
        <w:tc>
          <w:tcPr>
            <w:tcW w:w="1399" w:type="dxa"/>
            <w:shd w:val="clear" w:color="auto" w:fill="007BB8"/>
            <w:vAlign w:val="bottom"/>
          </w:tcPr>
          <w:p w14:paraId="42948BC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8,962 (34.7%)</w:t>
            </w:r>
          </w:p>
        </w:tc>
        <w:tc>
          <w:tcPr>
            <w:tcW w:w="1561" w:type="dxa"/>
            <w:shd w:val="clear" w:color="auto" w:fill="007BB8"/>
            <w:vAlign w:val="bottom"/>
          </w:tcPr>
          <w:p w14:paraId="57C444A3"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4,987 (30.2%)</w:t>
            </w:r>
          </w:p>
        </w:tc>
        <w:tc>
          <w:tcPr>
            <w:tcW w:w="709" w:type="dxa"/>
            <w:shd w:val="clear" w:color="auto" w:fill="007BB8"/>
            <w:vAlign w:val="bottom"/>
          </w:tcPr>
          <w:p w14:paraId="1F8A0326"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5F4EFD4B" w14:textId="77777777" w:rsidTr="00ED5868">
        <w:trPr>
          <w:trHeight w:val="205"/>
        </w:trPr>
        <w:tc>
          <w:tcPr>
            <w:tcW w:w="2251" w:type="dxa"/>
            <w:shd w:val="clear" w:color="auto" w:fill="007BB8"/>
            <w:vAlign w:val="bottom"/>
          </w:tcPr>
          <w:p w14:paraId="12AAAD10"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15km to 69km</w:t>
            </w:r>
          </w:p>
        </w:tc>
        <w:tc>
          <w:tcPr>
            <w:tcW w:w="1399" w:type="dxa"/>
            <w:shd w:val="clear" w:color="auto" w:fill="007BB8"/>
            <w:vAlign w:val="bottom"/>
          </w:tcPr>
          <w:p w14:paraId="38BDE8C6"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9,002 (34.9%)</w:t>
            </w:r>
          </w:p>
        </w:tc>
        <w:tc>
          <w:tcPr>
            <w:tcW w:w="1561" w:type="dxa"/>
            <w:shd w:val="clear" w:color="auto" w:fill="007BB8"/>
            <w:vAlign w:val="bottom"/>
          </w:tcPr>
          <w:p w14:paraId="6897C2FA"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6,489 (39.3%)</w:t>
            </w:r>
          </w:p>
        </w:tc>
        <w:tc>
          <w:tcPr>
            <w:tcW w:w="709" w:type="dxa"/>
            <w:shd w:val="clear" w:color="auto" w:fill="007BB8"/>
          </w:tcPr>
          <w:p w14:paraId="211FE2DD"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6BDBDE66" w14:textId="77777777" w:rsidTr="00ED5868">
        <w:trPr>
          <w:trHeight w:val="194"/>
        </w:trPr>
        <w:tc>
          <w:tcPr>
            <w:tcW w:w="2251" w:type="dxa"/>
            <w:shd w:val="clear" w:color="auto" w:fill="007BB8"/>
            <w:vAlign w:val="bottom"/>
          </w:tcPr>
          <w:p w14:paraId="74580B3F"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70km or more</w:t>
            </w:r>
          </w:p>
        </w:tc>
        <w:tc>
          <w:tcPr>
            <w:tcW w:w="1399" w:type="dxa"/>
            <w:shd w:val="clear" w:color="auto" w:fill="007BB8"/>
            <w:vAlign w:val="bottom"/>
          </w:tcPr>
          <w:p w14:paraId="70B46A64"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7,625 (29.5%)</w:t>
            </w:r>
          </w:p>
        </w:tc>
        <w:tc>
          <w:tcPr>
            <w:tcW w:w="1561" w:type="dxa"/>
            <w:shd w:val="clear" w:color="auto" w:fill="007BB8"/>
            <w:vAlign w:val="bottom"/>
          </w:tcPr>
          <w:p w14:paraId="54627DE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4,891 (29.6%)</w:t>
            </w:r>
          </w:p>
        </w:tc>
        <w:tc>
          <w:tcPr>
            <w:tcW w:w="709" w:type="dxa"/>
            <w:shd w:val="clear" w:color="auto" w:fill="007BB8"/>
          </w:tcPr>
          <w:p w14:paraId="6185FA30"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4B3A996D" w14:textId="77777777" w:rsidTr="00ED5868">
        <w:trPr>
          <w:trHeight w:val="205"/>
        </w:trPr>
        <w:tc>
          <w:tcPr>
            <w:tcW w:w="2251" w:type="dxa"/>
            <w:shd w:val="clear" w:color="auto" w:fill="007BB8"/>
            <w:vAlign w:val="bottom"/>
          </w:tcPr>
          <w:p w14:paraId="6CEFDC86"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No distance info</w:t>
            </w:r>
          </w:p>
        </w:tc>
        <w:tc>
          <w:tcPr>
            <w:tcW w:w="1399" w:type="dxa"/>
            <w:shd w:val="clear" w:color="auto" w:fill="007BB8"/>
            <w:vAlign w:val="bottom"/>
          </w:tcPr>
          <w:p w14:paraId="48EBE90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227 (0.9%)</w:t>
            </w:r>
          </w:p>
        </w:tc>
        <w:tc>
          <w:tcPr>
            <w:tcW w:w="1561" w:type="dxa"/>
            <w:shd w:val="clear" w:color="auto" w:fill="007BB8"/>
            <w:vAlign w:val="bottom"/>
          </w:tcPr>
          <w:p w14:paraId="1D5898FA"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141 (0.9%)</w:t>
            </w:r>
          </w:p>
        </w:tc>
        <w:tc>
          <w:tcPr>
            <w:tcW w:w="709" w:type="dxa"/>
            <w:shd w:val="clear" w:color="auto" w:fill="007BB8"/>
          </w:tcPr>
          <w:p w14:paraId="6AF16EF5"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26131324" w14:textId="77777777" w:rsidTr="00ED5868">
        <w:trPr>
          <w:trHeight w:val="194"/>
        </w:trPr>
        <w:tc>
          <w:tcPr>
            <w:tcW w:w="5920" w:type="dxa"/>
            <w:gridSpan w:val="4"/>
            <w:shd w:val="clear" w:color="auto" w:fill="007BB8"/>
            <w:vAlign w:val="bottom"/>
          </w:tcPr>
          <w:p w14:paraId="0D7A40C2" w14:textId="7DECFD38" w:rsidR="00151E54" w:rsidRPr="000E634F" w:rsidRDefault="00151E54" w:rsidP="00526ED5">
            <w:pPr>
              <w:rPr>
                <w:rFonts w:ascii="Aptos" w:eastAsia="Aptos" w:hAnsi="Aptos" w:cs="Times New Roman"/>
                <w:color w:val="FFFFFF" w:themeColor="background1"/>
                <w:sz w:val="16"/>
                <w:szCs w:val="16"/>
                <w:lang w:val="en-IE"/>
              </w:rPr>
            </w:pPr>
            <w:r w:rsidRPr="000E634F">
              <w:rPr>
                <w:rFonts w:ascii="Aptos" w:eastAsia="Aptos" w:hAnsi="Aptos" w:cs="Times New Roman"/>
                <w:b/>
                <w:bCs/>
                <w:color w:val="FFFFFF" w:themeColor="background1"/>
                <w:sz w:val="16"/>
                <w:szCs w:val="16"/>
                <w:lang w:val="en-IE"/>
              </w:rPr>
              <w:t>School type</w:t>
            </w:r>
          </w:p>
        </w:tc>
      </w:tr>
      <w:tr w:rsidR="000E634F" w:rsidRPr="000E634F" w14:paraId="5B7DA76D" w14:textId="77777777" w:rsidTr="00ED5868">
        <w:trPr>
          <w:trHeight w:val="205"/>
        </w:trPr>
        <w:tc>
          <w:tcPr>
            <w:tcW w:w="2251" w:type="dxa"/>
            <w:shd w:val="clear" w:color="auto" w:fill="007BB8"/>
            <w:vAlign w:val="bottom"/>
          </w:tcPr>
          <w:p w14:paraId="44D21C8D" w14:textId="51DC15E8"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w:t>
            </w:r>
            <w:r w:rsidR="0085494A">
              <w:rPr>
                <w:rFonts w:ascii="Aptos" w:eastAsia="Aptos" w:hAnsi="Aptos" w:cs="Times New Roman"/>
                <w:color w:val="FFFFFF" w:themeColor="background1"/>
                <w:sz w:val="16"/>
                <w:szCs w:val="16"/>
                <w:lang w:val="en-IE"/>
              </w:rPr>
              <w:t>DEIS</w:t>
            </w:r>
          </w:p>
        </w:tc>
        <w:tc>
          <w:tcPr>
            <w:tcW w:w="1399" w:type="dxa"/>
            <w:shd w:val="clear" w:color="auto" w:fill="007BB8"/>
            <w:vAlign w:val="bottom"/>
          </w:tcPr>
          <w:p w14:paraId="4B9E2A35"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1,958 (7.6%)</w:t>
            </w:r>
          </w:p>
        </w:tc>
        <w:tc>
          <w:tcPr>
            <w:tcW w:w="1561" w:type="dxa"/>
            <w:shd w:val="clear" w:color="auto" w:fill="007BB8"/>
            <w:vAlign w:val="bottom"/>
          </w:tcPr>
          <w:p w14:paraId="0DC61D0E"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2,743 (16.6%)</w:t>
            </w:r>
          </w:p>
        </w:tc>
        <w:tc>
          <w:tcPr>
            <w:tcW w:w="709" w:type="dxa"/>
            <w:shd w:val="clear" w:color="auto" w:fill="007BB8"/>
            <w:vAlign w:val="bottom"/>
          </w:tcPr>
          <w:p w14:paraId="045567D9"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71449475" w14:textId="77777777" w:rsidTr="00ED5868">
        <w:trPr>
          <w:trHeight w:val="205"/>
        </w:trPr>
        <w:tc>
          <w:tcPr>
            <w:tcW w:w="2251" w:type="dxa"/>
            <w:shd w:val="clear" w:color="auto" w:fill="007BB8"/>
            <w:vAlign w:val="bottom"/>
          </w:tcPr>
          <w:p w14:paraId="7E8CF841"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Fee Paying</w:t>
            </w:r>
          </w:p>
        </w:tc>
        <w:tc>
          <w:tcPr>
            <w:tcW w:w="1399" w:type="dxa"/>
            <w:shd w:val="clear" w:color="auto" w:fill="007BB8"/>
            <w:vAlign w:val="bottom"/>
          </w:tcPr>
          <w:p w14:paraId="011CD8E4"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3,050 (11.8%)</w:t>
            </w:r>
          </w:p>
        </w:tc>
        <w:tc>
          <w:tcPr>
            <w:tcW w:w="1561" w:type="dxa"/>
            <w:shd w:val="clear" w:color="auto" w:fill="007BB8"/>
            <w:vAlign w:val="bottom"/>
          </w:tcPr>
          <w:p w14:paraId="4AB95F4C"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372 (2.3%)</w:t>
            </w:r>
          </w:p>
        </w:tc>
        <w:tc>
          <w:tcPr>
            <w:tcW w:w="709" w:type="dxa"/>
            <w:shd w:val="clear" w:color="auto" w:fill="007BB8"/>
          </w:tcPr>
          <w:p w14:paraId="4489B07D"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37D2F93A" w14:textId="77777777" w:rsidTr="00ED5868">
        <w:trPr>
          <w:trHeight w:val="194"/>
        </w:trPr>
        <w:tc>
          <w:tcPr>
            <w:tcW w:w="2251" w:type="dxa"/>
            <w:shd w:val="clear" w:color="auto" w:fill="007BB8"/>
            <w:vAlign w:val="bottom"/>
          </w:tcPr>
          <w:p w14:paraId="6F003FAB"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Grind</w:t>
            </w:r>
          </w:p>
        </w:tc>
        <w:tc>
          <w:tcPr>
            <w:tcW w:w="1399" w:type="dxa"/>
            <w:shd w:val="clear" w:color="auto" w:fill="007BB8"/>
            <w:vAlign w:val="bottom"/>
          </w:tcPr>
          <w:p w14:paraId="77976400"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828 (3.2%)</w:t>
            </w:r>
          </w:p>
        </w:tc>
        <w:tc>
          <w:tcPr>
            <w:tcW w:w="1561" w:type="dxa"/>
            <w:shd w:val="clear" w:color="auto" w:fill="007BB8"/>
            <w:vAlign w:val="bottom"/>
          </w:tcPr>
          <w:p w14:paraId="05E44EF6"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151 (0.9%)</w:t>
            </w:r>
          </w:p>
        </w:tc>
        <w:tc>
          <w:tcPr>
            <w:tcW w:w="709" w:type="dxa"/>
            <w:shd w:val="clear" w:color="auto" w:fill="007BB8"/>
          </w:tcPr>
          <w:p w14:paraId="22B5E9B1"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2E72A4B6" w14:textId="77777777" w:rsidTr="00ED5868">
        <w:trPr>
          <w:trHeight w:val="205"/>
        </w:trPr>
        <w:tc>
          <w:tcPr>
            <w:tcW w:w="2251" w:type="dxa"/>
            <w:shd w:val="clear" w:color="auto" w:fill="007BB8"/>
            <w:vAlign w:val="bottom"/>
          </w:tcPr>
          <w:p w14:paraId="33AFFC50"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Neither</w:t>
            </w:r>
          </w:p>
        </w:tc>
        <w:tc>
          <w:tcPr>
            <w:tcW w:w="1399" w:type="dxa"/>
            <w:shd w:val="clear" w:color="auto" w:fill="007BB8"/>
            <w:vAlign w:val="bottom"/>
          </w:tcPr>
          <w:p w14:paraId="016F6587"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17,478 (67.7%)</w:t>
            </w:r>
          </w:p>
        </w:tc>
        <w:tc>
          <w:tcPr>
            <w:tcW w:w="1561" w:type="dxa"/>
            <w:shd w:val="clear" w:color="auto" w:fill="007BB8"/>
            <w:vAlign w:val="bottom"/>
          </w:tcPr>
          <w:p w14:paraId="2996A511"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10,851 (65.7%)</w:t>
            </w:r>
          </w:p>
        </w:tc>
        <w:tc>
          <w:tcPr>
            <w:tcW w:w="709" w:type="dxa"/>
            <w:shd w:val="clear" w:color="auto" w:fill="007BB8"/>
          </w:tcPr>
          <w:p w14:paraId="1347396C"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0F48079B" w14:textId="77777777" w:rsidTr="00ED5868">
        <w:trPr>
          <w:trHeight w:val="194"/>
        </w:trPr>
        <w:tc>
          <w:tcPr>
            <w:tcW w:w="2251" w:type="dxa"/>
            <w:shd w:val="clear" w:color="auto" w:fill="007BB8"/>
            <w:vAlign w:val="bottom"/>
          </w:tcPr>
          <w:p w14:paraId="7F25AC59" w14:textId="340BB977" w:rsidR="00526ED5" w:rsidRPr="000E634F" w:rsidRDefault="00F25268" w:rsidP="00526ED5">
            <w:pPr>
              <w:rPr>
                <w:rFonts w:ascii="Aptos" w:eastAsia="Aptos" w:hAnsi="Aptos" w:cs="Times New Roman"/>
                <w:color w:val="FFFFFF" w:themeColor="background1"/>
                <w:sz w:val="16"/>
                <w:szCs w:val="16"/>
                <w:lang w:val="en-IE"/>
              </w:rPr>
            </w:pPr>
            <w:r>
              <w:rPr>
                <w:rFonts w:ascii="Aptos" w:eastAsia="Aptos" w:hAnsi="Aptos" w:cs="Times New Roman"/>
                <w:color w:val="FFFFFF" w:themeColor="background1"/>
                <w:sz w:val="16"/>
                <w:szCs w:val="16"/>
                <w:lang w:val="en-IE"/>
              </w:rPr>
              <w:t>in</w:t>
            </w:r>
            <w:r w:rsidR="00526ED5" w:rsidRPr="000E634F">
              <w:rPr>
                <w:rFonts w:ascii="Aptos" w:eastAsia="Aptos" w:hAnsi="Aptos" w:cs="Times New Roman"/>
                <w:color w:val="FFFFFF" w:themeColor="background1"/>
                <w:sz w:val="16"/>
                <w:szCs w:val="16"/>
                <w:lang w:val="en-IE"/>
              </w:rPr>
              <w:t xml:space="preserve">  Unknown</w:t>
            </w:r>
          </w:p>
        </w:tc>
        <w:tc>
          <w:tcPr>
            <w:tcW w:w="1399" w:type="dxa"/>
            <w:shd w:val="clear" w:color="auto" w:fill="007BB8"/>
            <w:vAlign w:val="bottom"/>
          </w:tcPr>
          <w:p w14:paraId="6351CCCD"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2,502 (9.7%)</w:t>
            </w:r>
          </w:p>
        </w:tc>
        <w:tc>
          <w:tcPr>
            <w:tcW w:w="1561" w:type="dxa"/>
            <w:shd w:val="clear" w:color="auto" w:fill="007BB8"/>
            <w:vAlign w:val="bottom"/>
          </w:tcPr>
          <w:p w14:paraId="542ABD7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2,391 (14.5%)</w:t>
            </w:r>
          </w:p>
        </w:tc>
        <w:tc>
          <w:tcPr>
            <w:tcW w:w="709" w:type="dxa"/>
            <w:shd w:val="clear" w:color="auto" w:fill="007BB8"/>
          </w:tcPr>
          <w:p w14:paraId="06B2AA9D"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1F999C70" w14:textId="77777777" w:rsidTr="00ED5868">
        <w:trPr>
          <w:trHeight w:val="213"/>
        </w:trPr>
        <w:tc>
          <w:tcPr>
            <w:tcW w:w="5920" w:type="dxa"/>
            <w:gridSpan w:val="4"/>
            <w:shd w:val="clear" w:color="auto" w:fill="007BB8"/>
            <w:vAlign w:val="bottom"/>
          </w:tcPr>
          <w:p w14:paraId="7F8EAD41" w14:textId="28AA4EE9" w:rsidR="00151E54" w:rsidRPr="000E634F" w:rsidRDefault="0085494A" w:rsidP="00526ED5">
            <w:pPr>
              <w:rPr>
                <w:rFonts w:ascii="Aptos" w:eastAsia="Aptos" w:hAnsi="Aptos" w:cs="Times New Roman"/>
                <w:color w:val="FFFFFF" w:themeColor="background1"/>
                <w:sz w:val="16"/>
                <w:szCs w:val="16"/>
                <w:lang w:val="en-IE"/>
              </w:rPr>
            </w:pPr>
            <w:r>
              <w:rPr>
                <w:rFonts w:ascii="Aptos" w:eastAsia="Aptos" w:hAnsi="Aptos" w:cs="Times New Roman"/>
                <w:b/>
                <w:bCs/>
                <w:color w:val="FFFFFF" w:themeColor="background1"/>
                <w:sz w:val="16"/>
                <w:szCs w:val="16"/>
                <w:lang w:val="en-IE"/>
              </w:rPr>
              <w:t>S</w:t>
            </w:r>
            <w:r w:rsidR="00151E54" w:rsidRPr="000E634F">
              <w:rPr>
                <w:rFonts w:ascii="Aptos" w:eastAsia="Aptos" w:hAnsi="Aptos" w:cs="Times New Roman"/>
                <w:b/>
                <w:bCs/>
                <w:color w:val="FFFFFF" w:themeColor="background1"/>
                <w:sz w:val="16"/>
                <w:szCs w:val="16"/>
                <w:lang w:val="en-IE"/>
              </w:rPr>
              <w:t xml:space="preserve">chool </w:t>
            </w:r>
            <w:r>
              <w:rPr>
                <w:rFonts w:ascii="Aptos" w:eastAsia="Aptos" w:hAnsi="Aptos" w:cs="Times New Roman"/>
                <w:b/>
                <w:bCs/>
                <w:color w:val="FFFFFF" w:themeColor="background1"/>
                <w:sz w:val="16"/>
                <w:szCs w:val="16"/>
                <w:lang w:val="en-IE"/>
              </w:rPr>
              <w:t>gender</w:t>
            </w:r>
          </w:p>
        </w:tc>
      </w:tr>
      <w:tr w:rsidR="000E634F" w:rsidRPr="000E634F" w14:paraId="3F963916" w14:textId="77777777" w:rsidTr="00ED5868">
        <w:trPr>
          <w:trHeight w:val="205"/>
        </w:trPr>
        <w:tc>
          <w:tcPr>
            <w:tcW w:w="2251" w:type="dxa"/>
            <w:shd w:val="clear" w:color="auto" w:fill="007BB8"/>
            <w:vAlign w:val="bottom"/>
          </w:tcPr>
          <w:p w14:paraId="6313380C"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All boys</w:t>
            </w:r>
          </w:p>
        </w:tc>
        <w:tc>
          <w:tcPr>
            <w:tcW w:w="1399" w:type="dxa"/>
            <w:shd w:val="clear" w:color="auto" w:fill="007BB8"/>
            <w:vAlign w:val="bottom"/>
          </w:tcPr>
          <w:p w14:paraId="735A098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4,725 (18.3%)</w:t>
            </w:r>
          </w:p>
        </w:tc>
        <w:tc>
          <w:tcPr>
            <w:tcW w:w="1561" w:type="dxa"/>
            <w:shd w:val="clear" w:color="auto" w:fill="007BB8"/>
            <w:vAlign w:val="bottom"/>
          </w:tcPr>
          <w:p w14:paraId="602BC8AB"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1,965 (11.9%)</w:t>
            </w:r>
          </w:p>
        </w:tc>
        <w:tc>
          <w:tcPr>
            <w:tcW w:w="709" w:type="dxa"/>
            <w:shd w:val="clear" w:color="auto" w:fill="007BB8"/>
            <w:vAlign w:val="bottom"/>
          </w:tcPr>
          <w:p w14:paraId="0ABE3F7C"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5073323C" w14:textId="77777777" w:rsidTr="00ED5868">
        <w:trPr>
          <w:trHeight w:val="194"/>
        </w:trPr>
        <w:tc>
          <w:tcPr>
            <w:tcW w:w="2251" w:type="dxa"/>
            <w:shd w:val="clear" w:color="auto" w:fill="007BB8"/>
            <w:vAlign w:val="bottom"/>
          </w:tcPr>
          <w:p w14:paraId="0118CDF3"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All girls</w:t>
            </w:r>
          </w:p>
        </w:tc>
        <w:tc>
          <w:tcPr>
            <w:tcW w:w="1399" w:type="dxa"/>
            <w:shd w:val="clear" w:color="auto" w:fill="007BB8"/>
            <w:vAlign w:val="bottom"/>
          </w:tcPr>
          <w:p w14:paraId="2FA1854C"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5,562 (21.5%)</w:t>
            </w:r>
          </w:p>
        </w:tc>
        <w:tc>
          <w:tcPr>
            <w:tcW w:w="1561" w:type="dxa"/>
            <w:shd w:val="clear" w:color="auto" w:fill="007BB8"/>
            <w:vAlign w:val="bottom"/>
          </w:tcPr>
          <w:p w14:paraId="628379EB"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3,055 (18.5%)</w:t>
            </w:r>
          </w:p>
        </w:tc>
        <w:tc>
          <w:tcPr>
            <w:tcW w:w="709" w:type="dxa"/>
            <w:shd w:val="clear" w:color="auto" w:fill="007BB8"/>
          </w:tcPr>
          <w:p w14:paraId="68E91262"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7E275B50" w14:textId="77777777" w:rsidTr="00ED5868">
        <w:trPr>
          <w:trHeight w:val="205"/>
        </w:trPr>
        <w:tc>
          <w:tcPr>
            <w:tcW w:w="2251" w:type="dxa"/>
            <w:shd w:val="clear" w:color="auto" w:fill="007BB8"/>
            <w:vAlign w:val="bottom"/>
          </w:tcPr>
          <w:p w14:paraId="6E5B1291"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Mixed</w:t>
            </w:r>
          </w:p>
        </w:tc>
        <w:tc>
          <w:tcPr>
            <w:tcW w:w="1399" w:type="dxa"/>
            <w:shd w:val="clear" w:color="auto" w:fill="007BB8"/>
            <w:vAlign w:val="bottom"/>
          </w:tcPr>
          <w:p w14:paraId="36E43EA9"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13,495 (52.3%)</w:t>
            </w:r>
          </w:p>
        </w:tc>
        <w:tc>
          <w:tcPr>
            <w:tcW w:w="1561" w:type="dxa"/>
            <w:shd w:val="clear" w:color="auto" w:fill="007BB8"/>
            <w:vAlign w:val="bottom"/>
          </w:tcPr>
          <w:p w14:paraId="6D44A824"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10,111 (61.2%)</w:t>
            </w:r>
          </w:p>
        </w:tc>
        <w:tc>
          <w:tcPr>
            <w:tcW w:w="709" w:type="dxa"/>
            <w:shd w:val="clear" w:color="auto" w:fill="007BB8"/>
          </w:tcPr>
          <w:p w14:paraId="7DF3699B"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738C1A17" w14:textId="77777777" w:rsidTr="00ED5868">
        <w:trPr>
          <w:trHeight w:val="194"/>
        </w:trPr>
        <w:tc>
          <w:tcPr>
            <w:tcW w:w="2251" w:type="dxa"/>
            <w:shd w:val="clear" w:color="auto" w:fill="007BB8"/>
            <w:vAlign w:val="bottom"/>
          </w:tcPr>
          <w:p w14:paraId="46E6FD94"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Unknown</w:t>
            </w:r>
          </w:p>
        </w:tc>
        <w:tc>
          <w:tcPr>
            <w:tcW w:w="1399" w:type="dxa"/>
            <w:shd w:val="clear" w:color="auto" w:fill="007BB8"/>
            <w:vAlign w:val="bottom"/>
          </w:tcPr>
          <w:p w14:paraId="269AF7CD"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2,034 (7.9%)</w:t>
            </w:r>
          </w:p>
        </w:tc>
        <w:tc>
          <w:tcPr>
            <w:tcW w:w="1561" w:type="dxa"/>
            <w:shd w:val="clear" w:color="auto" w:fill="007BB8"/>
            <w:vAlign w:val="bottom"/>
          </w:tcPr>
          <w:p w14:paraId="22212F91"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1,377 (8.3%)</w:t>
            </w:r>
          </w:p>
        </w:tc>
        <w:tc>
          <w:tcPr>
            <w:tcW w:w="709" w:type="dxa"/>
            <w:shd w:val="clear" w:color="auto" w:fill="007BB8"/>
          </w:tcPr>
          <w:p w14:paraId="6E2A9B13"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018A1A72" w14:textId="77777777" w:rsidTr="00ED5868">
        <w:trPr>
          <w:trHeight w:val="132"/>
        </w:trPr>
        <w:tc>
          <w:tcPr>
            <w:tcW w:w="5920" w:type="dxa"/>
            <w:gridSpan w:val="4"/>
            <w:shd w:val="clear" w:color="auto" w:fill="007BB8"/>
            <w:vAlign w:val="bottom"/>
          </w:tcPr>
          <w:p w14:paraId="098D01C8" w14:textId="33EDD892" w:rsidR="00151E54" w:rsidRPr="000E634F" w:rsidRDefault="00151E54" w:rsidP="00526ED5">
            <w:pPr>
              <w:rPr>
                <w:rFonts w:ascii="Aptos" w:eastAsia="Aptos" w:hAnsi="Aptos" w:cs="Times New Roman"/>
                <w:color w:val="FFFFFF" w:themeColor="background1"/>
                <w:sz w:val="16"/>
                <w:szCs w:val="16"/>
                <w:lang w:val="en-IE"/>
              </w:rPr>
            </w:pPr>
            <w:r w:rsidRPr="000E634F">
              <w:rPr>
                <w:rFonts w:ascii="Aptos" w:eastAsia="Aptos" w:hAnsi="Aptos" w:cs="Times New Roman"/>
                <w:b/>
                <w:bCs/>
                <w:color w:val="FFFFFF" w:themeColor="background1"/>
                <w:sz w:val="16"/>
                <w:szCs w:val="16"/>
                <w:lang w:val="en-IE"/>
              </w:rPr>
              <w:t>Leaving cert points group</w:t>
            </w:r>
          </w:p>
        </w:tc>
      </w:tr>
      <w:tr w:rsidR="000E634F" w:rsidRPr="000E634F" w14:paraId="6CED220A" w14:textId="77777777" w:rsidTr="00ED5868">
        <w:trPr>
          <w:trHeight w:val="194"/>
        </w:trPr>
        <w:tc>
          <w:tcPr>
            <w:tcW w:w="2251" w:type="dxa"/>
            <w:shd w:val="clear" w:color="auto" w:fill="007BB8"/>
            <w:vAlign w:val="bottom"/>
          </w:tcPr>
          <w:p w14:paraId="2A253CA7"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150 - 199</w:t>
            </w:r>
          </w:p>
        </w:tc>
        <w:tc>
          <w:tcPr>
            <w:tcW w:w="1399" w:type="dxa"/>
            <w:shd w:val="clear" w:color="auto" w:fill="007BB8"/>
            <w:vAlign w:val="bottom"/>
          </w:tcPr>
          <w:p w14:paraId="71949B76"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33 (0.1%)</w:t>
            </w:r>
          </w:p>
        </w:tc>
        <w:tc>
          <w:tcPr>
            <w:tcW w:w="1561" w:type="dxa"/>
            <w:shd w:val="clear" w:color="auto" w:fill="007BB8"/>
            <w:vAlign w:val="bottom"/>
          </w:tcPr>
          <w:p w14:paraId="6D1CE1D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79 (0.5%)</w:t>
            </w:r>
          </w:p>
        </w:tc>
        <w:tc>
          <w:tcPr>
            <w:tcW w:w="709" w:type="dxa"/>
            <w:shd w:val="clear" w:color="auto" w:fill="007BB8"/>
            <w:vAlign w:val="bottom"/>
          </w:tcPr>
          <w:p w14:paraId="08101B1F"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&lt;0.001</w:t>
            </w:r>
          </w:p>
        </w:tc>
      </w:tr>
      <w:tr w:rsidR="000E634F" w:rsidRPr="000E634F" w14:paraId="65CB4E7E" w14:textId="77777777" w:rsidTr="00ED5868">
        <w:trPr>
          <w:trHeight w:val="205"/>
        </w:trPr>
        <w:tc>
          <w:tcPr>
            <w:tcW w:w="2251" w:type="dxa"/>
            <w:shd w:val="clear" w:color="auto" w:fill="007BB8"/>
            <w:vAlign w:val="bottom"/>
          </w:tcPr>
          <w:p w14:paraId="603FD929"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200 - 249</w:t>
            </w:r>
          </w:p>
        </w:tc>
        <w:tc>
          <w:tcPr>
            <w:tcW w:w="1399" w:type="dxa"/>
            <w:shd w:val="clear" w:color="auto" w:fill="007BB8"/>
            <w:vAlign w:val="bottom"/>
          </w:tcPr>
          <w:p w14:paraId="0C7AD9BB"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132 (0.5%)</w:t>
            </w:r>
          </w:p>
        </w:tc>
        <w:tc>
          <w:tcPr>
            <w:tcW w:w="1561" w:type="dxa"/>
            <w:shd w:val="clear" w:color="auto" w:fill="007BB8"/>
            <w:vAlign w:val="bottom"/>
          </w:tcPr>
          <w:p w14:paraId="5FFF9A9F"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239 (1.4%)</w:t>
            </w:r>
          </w:p>
        </w:tc>
        <w:tc>
          <w:tcPr>
            <w:tcW w:w="709" w:type="dxa"/>
            <w:shd w:val="clear" w:color="auto" w:fill="007BB8"/>
          </w:tcPr>
          <w:p w14:paraId="6BDBAEBC"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67545D7C" w14:textId="77777777" w:rsidTr="00ED5868">
        <w:trPr>
          <w:trHeight w:val="194"/>
        </w:trPr>
        <w:tc>
          <w:tcPr>
            <w:tcW w:w="2251" w:type="dxa"/>
            <w:shd w:val="clear" w:color="auto" w:fill="007BB8"/>
            <w:vAlign w:val="bottom"/>
          </w:tcPr>
          <w:p w14:paraId="438F1CB4"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250 - 299</w:t>
            </w:r>
          </w:p>
        </w:tc>
        <w:tc>
          <w:tcPr>
            <w:tcW w:w="1399" w:type="dxa"/>
            <w:shd w:val="clear" w:color="auto" w:fill="007BB8"/>
            <w:vAlign w:val="bottom"/>
          </w:tcPr>
          <w:p w14:paraId="644CF291"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455 (1.8%)</w:t>
            </w:r>
          </w:p>
        </w:tc>
        <w:tc>
          <w:tcPr>
            <w:tcW w:w="1561" w:type="dxa"/>
            <w:shd w:val="clear" w:color="auto" w:fill="007BB8"/>
            <w:vAlign w:val="bottom"/>
          </w:tcPr>
          <w:p w14:paraId="770281F5"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668 (4.0%)</w:t>
            </w:r>
          </w:p>
        </w:tc>
        <w:tc>
          <w:tcPr>
            <w:tcW w:w="709" w:type="dxa"/>
            <w:shd w:val="clear" w:color="auto" w:fill="007BB8"/>
          </w:tcPr>
          <w:p w14:paraId="364099AD"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45005CB2" w14:textId="77777777" w:rsidTr="00ED5868">
        <w:trPr>
          <w:trHeight w:val="205"/>
        </w:trPr>
        <w:tc>
          <w:tcPr>
            <w:tcW w:w="2251" w:type="dxa"/>
            <w:shd w:val="clear" w:color="auto" w:fill="007BB8"/>
            <w:vAlign w:val="bottom"/>
          </w:tcPr>
          <w:p w14:paraId="2A933D82"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300 - 349</w:t>
            </w:r>
          </w:p>
        </w:tc>
        <w:tc>
          <w:tcPr>
            <w:tcW w:w="1399" w:type="dxa"/>
            <w:shd w:val="clear" w:color="auto" w:fill="007BB8"/>
            <w:vAlign w:val="bottom"/>
          </w:tcPr>
          <w:p w14:paraId="6DAB676F"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1,130 (4.4%)</w:t>
            </w:r>
          </w:p>
        </w:tc>
        <w:tc>
          <w:tcPr>
            <w:tcW w:w="1561" w:type="dxa"/>
            <w:shd w:val="clear" w:color="auto" w:fill="007BB8"/>
            <w:vAlign w:val="bottom"/>
          </w:tcPr>
          <w:p w14:paraId="63AC0AE7"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1,333 (8.1%)</w:t>
            </w:r>
          </w:p>
        </w:tc>
        <w:tc>
          <w:tcPr>
            <w:tcW w:w="709" w:type="dxa"/>
            <w:shd w:val="clear" w:color="auto" w:fill="007BB8"/>
          </w:tcPr>
          <w:p w14:paraId="5A2B2A3D"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3E982E0B" w14:textId="77777777" w:rsidTr="00ED5868">
        <w:trPr>
          <w:trHeight w:val="194"/>
        </w:trPr>
        <w:tc>
          <w:tcPr>
            <w:tcW w:w="2251" w:type="dxa"/>
            <w:shd w:val="clear" w:color="auto" w:fill="007BB8"/>
            <w:vAlign w:val="bottom"/>
          </w:tcPr>
          <w:p w14:paraId="39F10024"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350 - 399</w:t>
            </w:r>
          </w:p>
        </w:tc>
        <w:tc>
          <w:tcPr>
            <w:tcW w:w="1399" w:type="dxa"/>
            <w:shd w:val="clear" w:color="auto" w:fill="007BB8"/>
            <w:vAlign w:val="bottom"/>
          </w:tcPr>
          <w:p w14:paraId="6D9F38FF"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2,190 (8.5%)</w:t>
            </w:r>
          </w:p>
        </w:tc>
        <w:tc>
          <w:tcPr>
            <w:tcW w:w="1561" w:type="dxa"/>
            <w:shd w:val="clear" w:color="auto" w:fill="007BB8"/>
            <w:vAlign w:val="bottom"/>
          </w:tcPr>
          <w:p w14:paraId="105A7943"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1,889 (11.4%)</w:t>
            </w:r>
          </w:p>
        </w:tc>
        <w:tc>
          <w:tcPr>
            <w:tcW w:w="709" w:type="dxa"/>
            <w:shd w:val="clear" w:color="auto" w:fill="007BB8"/>
          </w:tcPr>
          <w:p w14:paraId="79EAC518"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7132F6DC" w14:textId="77777777" w:rsidTr="00ED5868">
        <w:trPr>
          <w:trHeight w:val="205"/>
        </w:trPr>
        <w:tc>
          <w:tcPr>
            <w:tcW w:w="2251" w:type="dxa"/>
            <w:shd w:val="clear" w:color="auto" w:fill="007BB8"/>
            <w:vAlign w:val="bottom"/>
          </w:tcPr>
          <w:p w14:paraId="6F2B2D71"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400 - 449</w:t>
            </w:r>
          </w:p>
        </w:tc>
        <w:tc>
          <w:tcPr>
            <w:tcW w:w="1399" w:type="dxa"/>
            <w:shd w:val="clear" w:color="auto" w:fill="007BB8"/>
            <w:vAlign w:val="bottom"/>
          </w:tcPr>
          <w:p w14:paraId="667B32E6"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2,917 (11.3%)</w:t>
            </w:r>
          </w:p>
        </w:tc>
        <w:tc>
          <w:tcPr>
            <w:tcW w:w="1561" w:type="dxa"/>
            <w:shd w:val="clear" w:color="auto" w:fill="007BB8"/>
            <w:vAlign w:val="bottom"/>
          </w:tcPr>
          <w:p w14:paraId="1F5C7C4C"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1,959 (11.9%)</w:t>
            </w:r>
          </w:p>
        </w:tc>
        <w:tc>
          <w:tcPr>
            <w:tcW w:w="709" w:type="dxa"/>
            <w:shd w:val="clear" w:color="auto" w:fill="007BB8"/>
          </w:tcPr>
          <w:p w14:paraId="3A1921D0"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5AD692C4" w14:textId="77777777" w:rsidTr="00ED5868">
        <w:trPr>
          <w:trHeight w:val="194"/>
        </w:trPr>
        <w:tc>
          <w:tcPr>
            <w:tcW w:w="2251" w:type="dxa"/>
            <w:shd w:val="clear" w:color="auto" w:fill="007BB8"/>
            <w:vAlign w:val="bottom"/>
          </w:tcPr>
          <w:p w14:paraId="4B354F01"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450 - 499</w:t>
            </w:r>
          </w:p>
        </w:tc>
        <w:tc>
          <w:tcPr>
            <w:tcW w:w="1399" w:type="dxa"/>
            <w:shd w:val="clear" w:color="auto" w:fill="007BB8"/>
            <w:vAlign w:val="bottom"/>
          </w:tcPr>
          <w:p w14:paraId="5724C795"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4,369 (16.9%)</w:t>
            </w:r>
          </w:p>
        </w:tc>
        <w:tc>
          <w:tcPr>
            <w:tcW w:w="1561" w:type="dxa"/>
            <w:shd w:val="clear" w:color="auto" w:fill="007BB8"/>
            <w:vAlign w:val="bottom"/>
          </w:tcPr>
          <w:p w14:paraId="39098063"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2,192 (13.3%)</w:t>
            </w:r>
          </w:p>
        </w:tc>
        <w:tc>
          <w:tcPr>
            <w:tcW w:w="709" w:type="dxa"/>
            <w:shd w:val="clear" w:color="auto" w:fill="007BB8"/>
          </w:tcPr>
          <w:p w14:paraId="3C8F26F6"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0BAB34CB" w14:textId="77777777" w:rsidTr="00ED5868">
        <w:trPr>
          <w:trHeight w:val="205"/>
        </w:trPr>
        <w:tc>
          <w:tcPr>
            <w:tcW w:w="2251" w:type="dxa"/>
            <w:shd w:val="clear" w:color="auto" w:fill="007BB8"/>
            <w:vAlign w:val="bottom"/>
          </w:tcPr>
          <w:p w14:paraId="74C95C84"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500 - 549</w:t>
            </w:r>
          </w:p>
        </w:tc>
        <w:tc>
          <w:tcPr>
            <w:tcW w:w="1399" w:type="dxa"/>
            <w:shd w:val="clear" w:color="auto" w:fill="007BB8"/>
            <w:vAlign w:val="bottom"/>
          </w:tcPr>
          <w:p w14:paraId="6BEF22B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3,889 (15.1%)</w:t>
            </w:r>
          </w:p>
        </w:tc>
        <w:tc>
          <w:tcPr>
            <w:tcW w:w="1561" w:type="dxa"/>
            <w:shd w:val="clear" w:color="auto" w:fill="007BB8"/>
            <w:vAlign w:val="bottom"/>
          </w:tcPr>
          <w:p w14:paraId="5012F27C"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1,509 (9.1%)</w:t>
            </w:r>
          </w:p>
        </w:tc>
        <w:tc>
          <w:tcPr>
            <w:tcW w:w="709" w:type="dxa"/>
            <w:shd w:val="clear" w:color="auto" w:fill="007BB8"/>
          </w:tcPr>
          <w:p w14:paraId="01ED6793"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7CCB8133" w14:textId="77777777" w:rsidTr="00ED5868">
        <w:trPr>
          <w:trHeight w:val="194"/>
        </w:trPr>
        <w:tc>
          <w:tcPr>
            <w:tcW w:w="2251" w:type="dxa"/>
            <w:shd w:val="clear" w:color="auto" w:fill="007BB8"/>
            <w:vAlign w:val="bottom"/>
          </w:tcPr>
          <w:p w14:paraId="421500AD"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550 - 599</w:t>
            </w:r>
          </w:p>
        </w:tc>
        <w:tc>
          <w:tcPr>
            <w:tcW w:w="1399" w:type="dxa"/>
            <w:shd w:val="clear" w:color="auto" w:fill="007BB8"/>
            <w:vAlign w:val="bottom"/>
          </w:tcPr>
          <w:p w14:paraId="3AC7CEC5"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3,628 (14.1%)</w:t>
            </w:r>
          </w:p>
        </w:tc>
        <w:tc>
          <w:tcPr>
            <w:tcW w:w="1561" w:type="dxa"/>
            <w:shd w:val="clear" w:color="auto" w:fill="007BB8"/>
            <w:vAlign w:val="bottom"/>
          </w:tcPr>
          <w:p w14:paraId="1E5435A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1,095 (6.6%)</w:t>
            </w:r>
          </w:p>
        </w:tc>
        <w:tc>
          <w:tcPr>
            <w:tcW w:w="709" w:type="dxa"/>
            <w:shd w:val="clear" w:color="auto" w:fill="007BB8"/>
          </w:tcPr>
          <w:p w14:paraId="1F9A4811"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13D4BDA7" w14:textId="77777777" w:rsidTr="00ED5868">
        <w:trPr>
          <w:trHeight w:val="205"/>
        </w:trPr>
        <w:tc>
          <w:tcPr>
            <w:tcW w:w="2251" w:type="dxa"/>
            <w:shd w:val="clear" w:color="auto" w:fill="007BB8"/>
            <w:vAlign w:val="bottom"/>
          </w:tcPr>
          <w:p w14:paraId="2628773E"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600 - 625</w:t>
            </w:r>
          </w:p>
        </w:tc>
        <w:tc>
          <w:tcPr>
            <w:tcW w:w="1399" w:type="dxa"/>
            <w:shd w:val="clear" w:color="auto" w:fill="007BB8"/>
            <w:vAlign w:val="bottom"/>
          </w:tcPr>
          <w:p w14:paraId="797346C8"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2,425 (9.4%)</w:t>
            </w:r>
          </w:p>
        </w:tc>
        <w:tc>
          <w:tcPr>
            <w:tcW w:w="1561" w:type="dxa"/>
            <w:shd w:val="clear" w:color="auto" w:fill="007BB8"/>
            <w:vAlign w:val="bottom"/>
          </w:tcPr>
          <w:p w14:paraId="566F6EE0"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488 (3.0%)</w:t>
            </w:r>
          </w:p>
        </w:tc>
        <w:tc>
          <w:tcPr>
            <w:tcW w:w="709" w:type="dxa"/>
            <w:shd w:val="clear" w:color="auto" w:fill="007BB8"/>
          </w:tcPr>
          <w:p w14:paraId="0BFD69E9"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51884888" w14:textId="77777777" w:rsidTr="00ED5868">
        <w:trPr>
          <w:trHeight w:val="194"/>
        </w:trPr>
        <w:tc>
          <w:tcPr>
            <w:tcW w:w="2251" w:type="dxa"/>
            <w:shd w:val="clear" w:color="auto" w:fill="007BB8"/>
            <w:vAlign w:val="bottom"/>
          </w:tcPr>
          <w:p w14:paraId="637C775F" w14:textId="7777777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Not given</w:t>
            </w:r>
          </w:p>
        </w:tc>
        <w:tc>
          <w:tcPr>
            <w:tcW w:w="1399" w:type="dxa"/>
            <w:shd w:val="clear" w:color="auto" w:fill="007BB8"/>
            <w:vAlign w:val="bottom"/>
          </w:tcPr>
          <w:p w14:paraId="38FC713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815 (3.2%)</w:t>
            </w:r>
          </w:p>
        </w:tc>
        <w:tc>
          <w:tcPr>
            <w:tcW w:w="1561" w:type="dxa"/>
            <w:shd w:val="clear" w:color="auto" w:fill="007BB8"/>
            <w:vAlign w:val="bottom"/>
          </w:tcPr>
          <w:p w14:paraId="478F6467"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594 (3.6%)</w:t>
            </w:r>
          </w:p>
        </w:tc>
        <w:tc>
          <w:tcPr>
            <w:tcW w:w="709" w:type="dxa"/>
            <w:shd w:val="clear" w:color="auto" w:fill="007BB8"/>
          </w:tcPr>
          <w:p w14:paraId="630BAA11" w14:textId="77777777" w:rsidR="00526ED5" w:rsidRPr="000E634F" w:rsidRDefault="00526ED5" w:rsidP="00526ED5">
            <w:pPr>
              <w:rPr>
                <w:rFonts w:ascii="Aptos" w:eastAsia="Aptos" w:hAnsi="Aptos" w:cs="Times New Roman"/>
                <w:color w:val="FFFFFF" w:themeColor="background1"/>
                <w:sz w:val="16"/>
                <w:szCs w:val="16"/>
                <w:lang w:val="en-IE"/>
              </w:rPr>
            </w:pPr>
          </w:p>
        </w:tc>
      </w:tr>
      <w:tr w:rsidR="000E634F" w:rsidRPr="000E634F" w14:paraId="3827C7FF" w14:textId="77777777" w:rsidTr="00ED5868">
        <w:trPr>
          <w:trHeight w:val="70"/>
        </w:trPr>
        <w:tc>
          <w:tcPr>
            <w:tcW w:w="2251" w:type="dxa"/>
            <w:shd w:val="clear" w:color="auto" w:fill="007BB8"/>
            <w:vAlign w:val="bottom"/>
          </w:tcPr>
          <w:p w14:paraId="74537AFF" w14:textId="77B2EEC7" w:rsidR="00526ED5" w:rsidRPr="000E634F" w:rsidRDefault="00526ED5" w:rsidP="00526ED5">
            <w:pPr>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 xml:space="preserve">  </w:t>
            </w:r>
            <w:r w:rsidR="00602AAF" w:rsidRPr="000E634F">
              <w:rPr>
                <w:rFonts w:ascii="Aptos" w:eastAsia="Aptos" w:hAnsi="Aptos" w:cs="Times New Roman"/>
                <w:color w:val="FFFFFF" w:themeColor="background1"/>
                <w:sz w:val="16"/>
                <w:szCs w:val="16"/>
                <w:lang w:val="en-IE"/>
              </w:rPr>
              <w:t>Not available</w:t>
            </w:r>
          </w:p>
        </w:tc>
        <w:tc>
          <w:tcPr>
            <w:tcW w:w="1399" w:type="dxa"/>
            <w:shd w:val="clear" w:color="auto" w:fill="007BB8"/>
            <w:vAlign w:val="bottom"/>
          </w:tcPr>
          <w:p w14:paraId="41A27090"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3,833 (14.8%)</w:t>
            </w:r>
          </w:p>
        </w:tc>
        <w:tc>
          <w:tcPr>
            <w:tcW w:w="1561" w:type="dxa"/>
            <w:shd w:val="clear" w:color="auto" w:fill="007BB8"/>
            <w:vAlign w:val="bottom"/>
          </w:tcPr>
          <w:p w14:paraId="0FC51BC2" w14:textId="77777777" w:rsidR="00526ED5" w:rsidRPr="000E634F" w:rsidRDefault="00526ED5" w:rsidP="00526ED5">
            <w:pPr>
              <w:jc w:val="right"/>
              <w:rPr>
                <w:rFonts w:ascii="Aptos" w:eastAsia="Aptos" w:hAnsi="Aptos" w:cs="Times New Roman"/>
                <w:color w:val="FFFFFF" w:themeColor="background1"/>
                <w:sz w:val="16"/>
                <w:szCs w:val="16"/>
                <w:lang w:val="en-IE"/>
              </w:rPr>
            </w:pPr>
            <w:r w:rsidRPr="000E634F">
              <w:rPr>
                <w:rFonts w:ascii="Aptos" w:eastAsia="Aptos" w:hAnsi="Aptos" w:cs="Times New Roman"/>
                <w:color w:val="FFFFFF" w:themeColor="background1"/>
                <w:sz w:val="16"/>
                <w:szCs w:val="16"/>
                <w:lang w:val="en-IE"/>
              </w:rPr>
              <w:t>4,463 (27.0%)</w:t>
            </w:r>
          </w:p>
        </w:tc>
        <w:tc>
          <w:tcPr>
            <w:tcW w:w="709" w:type="dxa"/>
            <w:shd w:val="clear" w:color="auto" w:fill="007BB8"/>
          </w:tcPr>
          <w:p w14:paraId="17C693FB" w14:textId="77777777" w:rsidR="00526ED5" w:rsidRPr="000E634F" w:rsidRDefault="00526ED5" w:rsidP="00526ED5">
            <w:pPr>
              <w:rPr>
                <w:rFonts w:ascii="Aptos" w:eastAsia="Aptos" w:hAnsi="Aptos" w:cs="Times New Roman"/>
                <w:color w:val="FFFFFF" w:themeColor="background1"/>
                <w:sz w:val="16"/>
                <w:szCs w:val="16"/>
                <w:lang w:val="en-IE"/>
              </w:rPr>
            </w:pPr>
          </w:p>
        </w:tc>
      </w:tr>
    </w:tbl>
    <w:p w14:paraId="1C5DB266" w14:textId="77777777" w:rsidR="00847F37" w:rsidRPr="00FF062A" w:rsidRDefault="00847F37" w:rsidP="00B966EE"/>
    <w:p w14:paraId="67414AE4" w14:textId="77D5C899" w:rsidR="00536C6A" w:rsidRPr="00FF062A" w:rsidRDefault="00A63A4E" w:rsidP="00536C6A">
      <w:pPr>
        <w:pStyle w:val="Heading2"/>
      </w:pPr>
      <w:r>
        <w:t xml:space="preserve">Section 2: </w:t>
      </w:r>
      <w:r w:rsidR="00536C6A" w:rsidRPr="00FF062A">
        <w:t xml:space="preserve">Non-progression outcomes </w:t>
      </w:r>
    </w:p>
    <w:p w14:paraId="047AB0B0" w14:textId="000C3D88" w:rsidR="00536C6A" w:rsidRPr="00FF062A" w:rsidRDefault="003D504D" w:rsidP="003D504D">
      <w:pPr>
        <w:pStyle w:val="Heading4"/>
      </w:pPr>
      <w:r w:rsidRPr="00FF062A">
        <w:t>Overall trend</w:t>
      </w:r>
    </w:p>
    <w:p w14:paraId="6FF163A5" w14:textId="409A3912" w:rsidR="003261E8" w:rsidRPr="00FF062A" w:rsidRDefault="003261E8" w:rsidP="00B966EE">
      <w:r w:rsidRPr="00FF062A">
        <w:t>Figure 6</w:t>
      </w:r>
      <w:r w:rsidR="00CB2330" w:rsidRPr="00FF062A">
        <w:t xml:space="preserve"> shows the five-</w:t>
      </w:r>
      <w:r w:rsidR="003D504D" w:rsidRPr="00FF062A">
        <w:t>year trend in non-progression for the two groups. While the overall trend in non-progression has been a decline to the 2019/20 year and then subsequent sharp increase, the pattern of difference is stable with the SUSI group having a rate of non-progression approximately 50% higher than the non-SUSI group in each year. In the latest year, 2021/22, 19.1% of those in the SUSI group did not progress while 13.6% of the non-SUSI group did so.</w:t>
      </w:r>
    </w:p>
    <w:p w14:paraId="15BAC1A6" w14:textId="37722881" w:rsidR="003261E8" w:rsidRPr="00FF062A" w:rsidRDefault="00F3404F" w:rsidP="00B966EE">
      <w:r w:rsidRPr="00F3404F">
        <w:rPr>
          <w:noProof/>
        </w:rPr>
        <w:drawing>
          <wp:inline distT="0" distB="0" distL="0" distR="0" wp14:anchorId="73FD1E86" wp14:editId="4DE2CE11">
            <wp:extent cx="5731510" cy="3437890"/>
            <wp:effectExtent l="0" t="0" r="0" b="0"/>
            <wp:docPr id="37315325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6B8914B2" w14:textId="77777777" w:rsidR="00FF062A" w:rsidRPr="00FF062A" w:rsidRDefault="00FF062A" w:rsidP="00B966EE"/>
    <w:p w14:paraId="65E6DB79" w14:textId="0B85DFEB" w:rsidR="00FF062A" w:rsidRPr="00FF062A" w:rsidRDefault="00FF062A" w:rsidP="00FF062A">
      <w:pPr>
        <w:pStyle w:val="Heading4"/>
      </w:pPr>
      <w:r w:rsidRPr="00FF062A">
        <w:t>Differences with</w:t>
      </w:r>
      <w:r w:rsidR="00F25268">
        <w:t>in</w:t>
      </w:r>
      <w:r w:rsidRPr="00FF062A">
        <w:t xml:space="preserve"> SUSI group: Adjacency</w:t>
      </w:r>
    </w:p>
    <w:p w14:paraId="6F52BFB8" w14:textId="03C609BE" w:rsidR="00FF062A" w:rsidRDefault="00FF062A" w:rsidP="00FF062A">
      <w:r w:rsidRPr="00FF062A">
        <w:t>SUSI grant awards differ based on the distance between their parental home address and their Higher Education Institution</w:t>
      </w:r>
      <w:r w:rsidR="00F25268">
        <w:t xml:space="preserve">. Those closer to their institution are awarded an adjacency grant while those further away are awarded a non-adjacency grant. </w:t>
      </w:r>
    </w:p>
    <w:p w14:paraId="39D887BD" w14:textId="778C2DBE" w:rsidR="00FF062A" w:rsidRDefault="008939B6" w:rsidP="00FF062A">
      <w:r>
        <w:t>Figure 7 shows that the number of non-adjacency awards was substantial</w:t>
      </w:r>
      <w:r w:rsidR="00F25268">
        <w:t>ly</w:t>
      </w:r>
      <w:r>
        <w:t xml:space="preserve"> higher than the number of adjacency awards in the early part of the period, but through a greater decline in the former, there is little difference in the number of each award in more recent years. In 2021/22, 8,339 non-adjacency awards were granted compared to 9,664 in 2017/18.</w:t>
      </w:r>
    </w:p>
    <w:p w14:paraId="6C878FFE" w14:textId="099A0A9A" w:rsidR="000D6985" w:rsidRDefault="007B49D4" w:rsidP="00FF062A">
      <w:r w:rsidRPr="007B49D4">
        <w:rPr>
          <w:noProof/>
        </w:rPr>
        <w:drawing>
          <wp:inline distT="0" distB="0" distL="0" distR="0" wp14:anchorId="440457CA" wp14:editId="51FB510C">
            <wp:extent cx="5731510" cy="3437890"/>
            <wp:effectExtent l="0" t="0" r="0" b="0"/>
            <wp:docPr id="4749812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291B4941" w14:textId="77777777" w:rsidR="000D6985" w:rsidRDefault="000D6985" w:rsidP="00FF062A"/>
    <w:p w14:paraId="4275DF44" w14:textId="0D2EEF41" w:rsidR="008939B6" w:rsidRDefault="008939B6" w:rsidP="00FF062A">
      <w:r>
        <w:t xml:space="preserve">Those receiving adjacency awards had a higher rate of non-progression by a small but consistent </w:t>
      </w:r>
      <w:r w:rsidR="007B49D4">
        <w:t>margin</w:t>
      </w:r>
      <w:r>
        <w:t xml:space="preserve"> compared to those receiving a non-adjacency award, although the difference in 2021/22 (0.6 percentage points) was smaller than that in 2017/18 (</w:t>
      </w:r>
      <w:r w:rsidR="007B49D4">
        <w:t>1.8</w:t>
      </w:r>
      <w:r>
        <w:t>%)</w:t>
      </w:r>
      <w:r w:rsidR="00602AAF">
        <w:t xml:space="preserve"> (figure 8).</w:t>
      </w:r>
    </w:p>
    <w:p w14:paraId="00C11CC1" w14:textId="6FFDC4B2" w:rsidR="000D6985" w:rsidRDefault="005A56D4" w:rsidP="00FF062A">
      <w:r w:rsidRPr="005A56D4">
        <w:rPr>
          <w:noProof/>
        </w:rPr>
        <w:drawing>
          <wp:inline distT="0" distB="0" distL="0" distR="0" wp14:anchorId="74BD39EB" wp14:editId="4DC00367">
            <wp:extent cx="5731510" cy="3437890"/>
            <wp:effectExtent l="0" t="0" r="0" b="0"/>
            <wp:docPr id="18058008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4154D8C2" w14:textId="78A9057E" w:rsidR="008939B6" w:rsidRDefault="008939B6" w:rsidP="00FF062A"/>
    <w:p w14:paraId="4DA69BD9" w14:textId="77777777" w:rsidR="008939B6" w:rsidRDefault="008939B6" w:rsidP="008939B6">
      <w:pPr>
        <w:pStyle w:val="Heading4"/>
      </w:pPr>
    </w:p>
    <w:p w14:paraId="304FC515" w14:textId="70B5C435" w:rsidR="008939B6" w:rsidRPr="00FF062A" w:rsidRDefault="008939B6" w:rsidP="008939B6">
      <w:pPr>
        <w:pStyle w:val="Heading4"/>
      </w:pPr>
      <w:r w:rsidRPr="00FF062A">
        <w:t>Differences with</w:t>
      </w:r>
      <w:r w:rsidR="00F25268">
        <w:t>in</w:t>
      </w:r>
      <w:r w:rsidRPr="00FF062A">
        <w:t xml:space="preserve"> SUSI group: </w:t>
      </w:r>
      <w:r>
        <w:t>income categories</w:t>
      </w:r>
      <w:r w:rsidR="001052E6">
        <w:rPr>
          <w:rStyle w:val="FootnoteReference"/>
        </w:rPr>
        <w:footnoteReference w:id="2"/>
      </w:r>
    </w:p>
    <w:p w14:paraId="4B401447" w14:textId="523B907F" w:rsidR="008939B6" w:rsidRDefault="00602AAF" w:rsidP="00FF062A">
      <w:r>
        <w:t xml:space="preserve">Among those in the SUSI group, the grant type award differed based on parental income. Figure 9 shows the frequency of each of the income category over five years. </w:t>
      </w:r>
      <w:r w:rsidR="00550388">
        <w:t>The number of awards at the two lowest income categories were highest in each year, and those two, along with those in the income category €45,790 to €49,840, declined the most in the number of awards over the period. The other income categories were smaller in frequency but stable over the five-year period</w:t>
      </w:r>
      <w:r w:rsidR="006F0721">
        <w:t>.</w:t>
      </w:r>
    </w:p>
    <w:p w14:paraId="2DE1B73B" w14:textId="55274720" w:rsidR="006F0721" w:rsidRDefault="00E66A80" w:rsidP="00FF062A">
      <w:r w:rsidRPr="00E66A80">
        <w:rPr>
          <w:noProof/>
        </w:rPr>
        <w:drawing>
          <wp:inline distT="0" distB="0" distL="0" distR="0" wp14:anchorId="1BF48F00" wp14:editId="2B6F7302">
            <wp:extent cx="5731510" cy="3437890"/>
            <wp:effectExtent l="0" t="0" r="0" b="0"/>
            <wp:docPr id="17876609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6DF734D3" w14:textId="092AB063" w:rsidR="006F0721" w:rsidRDefault="004C6251" w:rsidP="00FF062A">
      <w:r>
        <w:t xml:space="preserve">Figure 10 shows the non-progression outcomes related to income categories. All except the two lowest income categories have been grouped together, while the non-progression outcome for the </w:t>
      </w:r>
      <w:r w:rsidR="00D11B97">
        <w:t>those who</w:t>
      </w:r>
      <w:r w:rsidR="00FA4793">
        <w:t xml:space="preserve"> did not receive a </w:t>
      </w:r>
      <w:r>
        <w:t xml:space="preserve">SUSI </w:t>
      </w:r>
      <w:r w:rsidR="00FA4793">
        <w:t>award</w:t>
      </w:r>
      <w:r>
        <w:t xml:space="preserve"> has been added to aid comparison. The result sho</w:t>
      </w:r>
      <w:r w:rsidR="00FA4793">
        <w:t>w</w:t>
      </w:r>
      <w:r>
        <w:t xml:space="preserve">s a linear-like relationship between ordinal income category and </w:t>
      </w:r>
      <w:r w:rsidR="00FA4793">
        <w:t>likelihood of non-progression, whereby for each higher income category there is a decrease in the proportion of New Entrants not progressed. The relative differences in non-progression between the different groups is stable over time period monitored.</w:t>
      </w:r>
    </w:p>
    <w:p w14:paraId="27EF64D9" w14:textId="6412C833" w:rsidR="00E6296D" w:rsidRDefault="005A56D4" w:rsidP="00FF062A">
      <w:r w:rsidRPr="005A56D4">
        <w:rPr>
          <w:noProof/>
        </w:rPr>
        <w:drawing>
          <wp:inline distT="0" distB="0" distL="0" distR="0" wp14:anchorId="1AADF571" wp14:editId="777D5861">
            <wp:extent cx="5731510" cy="3437890"/>
            <wp:effectExtent l="0" t="0" r="0" b="0"/>
            <wp:docPr id="181577615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62FD0C5D" w14:textId="77777777" w:rsidR="004C6251" w:rsidRPr="00FF062A" w:rsidRDefault="004C6251" w:rsidP="00FF062A"/>
    <w:p w14:paraId="07077AC9" w14:textId="33F8AD0E" w:rsidR="00536C6A" w:rsidRPr="00FF062A" w:rsidRDefault="00A63A4E" w:rsidP="00536C6A">
      <w:pPr>
        <w:pStyle w:val="Heading2"/>
      </w:pPr>
      <w:r>
        <w:t xml:space="preserve">Section 3: </w:t>
      </w:r>
      <w:r w:rsidR="00536C6A" w:rsidRPr="00FF062A">
        <w:t xml:space="preserve">factors </w:t>
      </w:r>
      <w:r w:rsidR="00F25268">
        <w:t>associated with</w:t>
      </w:r>
      <w:r w:rsidR="00536C6A" w:rsidRPr="00FF062A">
        <w:t xml:space="preserve"> differences in non-progression </w:t>
      </w:r>
      <w:r w:rsidR="00D11B97" w:rsidRPr="00FF062A">
        <w:t>outcomes</w:t>
      </w:r>
      <w:r w:rsidR="00536C6A" w:rsidRPr="00FF062A">
        <w:t xml:space="preserve"> </w:t>
      </w:r>
    </w:p>
    <w:p w14:paraId="3C83B0CE" w14:textId="3D39F638" w:rsidR="00536C6A" w:rsidRDefault="003E0C28" w:rsidP="00B966EE">
      <w:r>
        <w:t>Section one showed that the characteristics of those who are awarded a SUSI grant and those who are not are systematic</w:t>
      </w:r>
      <w:r w:rsidR="00512AA7">
        <w:t>ally</w:t>
      </w:r>
      <w:r>
        <w:t xml:space="preserve"> different in sociodemographic, Higher Education and </w:t>
      </w:r>
      <w:r w:rsidR="00512AA7">
        <w:t>S</w:t>
      </w:r>
      <w:r>
        <w:t xml:space="preserve">econd </w:t>
      </w:r>
      <w:r w:rsidR="00512AA7">
        <w:t>Le</w:t>
      </w:r>
      <w:r>
        <w:t>vel schooling factors</w:t>
      </w:r>
      <w:r w:rsidR="00D11B97">
        <w:t xml:space="preserve">. </w:t>
      </w:r>
      <w:r>
        <w:t>Section two show</w:t>
      </w:r>
      <w:r w:rsidR="00512AA7">
        <w:t>ed</w:t>
      </w:r>
      <w:r>
        <w:t xml:space="preserve"> that non-progression outcomes differ</w:t>
      </w:r>
      <w:r w:rsidR="00512AA7">
        <w:t>ed</w:t>
      </w:r>
      <w:r>
        <w:t xml:space="preserve"> between the SUSI and non-SUSI group</w:t>
      </w:r>
      <w:r w:rsidR="00512AA7">
        <w:t>.</w:t>
      </w:r>
      <w:r>
        <w:t xml:space="preserve"> This section provides analysis of factors</w:t>
      </w:r>
      <w:r w:rsidR="00512AA7">
        <w:t xml:space="preserve"> are </w:t>
      </w:r>
      <w:r w:rsidR="00FA4793">
        <w:t>important in</w:t>
      </w:r>
      <w:r w:rsidR="00512AA7">
        <w:t xml:space="preserve"> </w:t>
      </w:r>
      <w:r>
        <w:t>explain</w:t>
      </w:r>
      <w:r w:rsidR="00512AA7">
        <w:t xml:space="preserve">ing </w:t>
      </w:r>
      <w:r>
        <w:t xml:space="preserve">the differences in non-progression outcomes between the groups, and </w:t>
      </w:r>
      <w:r w:rsidR="00512AA7">
        <w:t xml:space="preserve">quantifying </w:t>
      </w:r>
      <w:r>
        <w:t>the contribution of each individual factor is in explaining the differences.</w:t>
      </w:r>
      <w:r w:rsidR="00E97CDC">
        <w:t xml:space="preserve"> The data analysed is the 2021/22 year.</w:t>
      </w:r>
    </w:p>
    <w:p w14:paraId="7054B948" w14:textId="00DD4037" w:rsidR="004F3FED" w:rsidRDefault="003E0C28" w:rsidP="00B966EE">
      <w:r>
        <w:t xml:space="preserve">We employ multivariate binary logistic regression modelling </w:t>
      </w:r>
      <w:r w:rsidR="000B68ED">
        <w:t xml:space="preserve">for the outcome of non-progression </w:t>
      </w:r>
      <w:r>
        <w:t>to address these questions</w:t>
      </w:r>
      <w:r w:rsidR="000B68ED">
        <w:t xml:space="preserve">. Figure </w:t>
      </w:r>
      <w:r w:rsidR="00FA4793">
        <w:t>11</w:t>
      </w:r>
      <w:r w:rsidR="000B68ED">
        <w:t xml:space="preserve"> illustrates the results, </w:t>
      </w:r>
      <w:r w:rsidR="00512AA7">
        <w:t>and these are</w:t>
      </w:r>
      <w:r w:rsidR="000B68ED">
        <w:t xml:space="preserve"> expressed in odds ratios</w:t>
      </w:r>
      <w:r w:rsidR="00D11B97">
        <w:t xml:space="preserve">. </w:t>
      </w:r>
      <w:r w:rsidR="000B68ED">
        <w:t xml:space="preserve">The odds ratio </w:t>
      </w:r>
      <w:r w:rsidR="00512AA7">
        <w:t>shows</w:t>
      </w:r>
      <w:r w:rsidR="000B68ED">
        <w:t xml:space="preserve"> the likelihood of non-progression for those receiving a SUSI grant compared to those who do not. A</w:t>
      </w:r>
      <w:r w:rsidR="00E97CDC">
        <w:t xml:space="preserve">n </w:t>
      </w:r>
      <w:r w:rsidR="000B68ED">
        <w:t xml:space="preserve">odds ratio of greater than one means </w:t>
      </w:r>
      <w:r w:rsidR="00E97CDC">
        <w:t>the SUSI group had a higher likelihood of non-progression</w:t>
      </w:r>
      <w:r w:rsidR="00512AA7">
        <w:t xml:space="preserve"> than the non-SUSI group</w:t>
      </w:r>
      <w:r w:rsidR="00E97CDC">
        <w:t xml:space="preserve">. </w:t>
      </w:r>
      <w:r w:rsidR="00512AA7">
        <w:t xml:space="preserve">The upper and lower confidence interval of each odds ratio is illustrated by the line </w:t>
      </w:r>
      <w:r w:rsidR="004F3FED">
        <w:t>either</w:t>
      </w:r>
      <w:r w:rsidR="00512AA7">
        <w:t xml:space="preserve"> side of the point estimate, and where the confidence interval does not breach the dotted horizontal line at one, the difference in odds ratio is statistically </w:t>
      </w:r>
      <w:r w:rsidR="004F3FED">
        <w:t xml:space="preserve">significant. </w:t>
      </w:r>
    </w:p>
    <w:p w14:paraId="14925EA6" w14:textId="7AEB76CF" w:rsidR="00E97CDC" w:rsidRDefault="00E97CDC" w:rsidP="00B966EE">
      <w:r>
        <w:t>The baseline model estimate</w:t>
      </w:r>
      <w:r w:rsidR="00FA4793">
        <w:t>s</w:t>
      </w:r>
      <w:r>
        <w:t xml:space="preserve"> the unadjusted relationship between SUSI grant award and non-progression, and then an additional covariate is added sequentially to the model until the fully adjusted model when the last covariate, Leaving Certificate points group, is added.</w:t>
      </w:r>
    </w:p>
    <w:p w14:paraId="1DC5F160" w14:textId="7EDAC2A3" w:rsidR="007A27DD" w:rsidRDefault="00E97CDC" w:rsidP="00B966EE">
      <w:r>
        <w:t xml:space="preserve">Within the unadjusted model, </w:t>
      </w:r>
      <w:r w:rsidR="004F3FED">
        <w:t xml:space="preserve">as shown by the blue point estimate and line, </w:t>
      </w:r>
      <w:r>
        <w:t>the SUSI group ha</w:t>
      </w:r>
      <w:r w:rsidR="004F3FED">
        <w:t>d</w:t>
      </w:r>
      <w:r>
        <w:t xml:space="preserve"> a 50% higher odds of non-progression than the non-SUSI group. This is effectively a restatement of the non-progression finding for 2021/22 in Section </w:t>
      </w:r>
      <w:r w:rsidR="004F3FED">
        <w:t>two</w:t>
      </w:r>
      <w:r>
        <w:t xml:space="preserve">. Each of the four sociodemographic factors considered are then added in sequence. </w:t>
      </w:r>
      <w:r w:rsidR="007A27DD">
        <w:t xml:space="preserve">After adjusting for these four, the SUSI group has 41% higher likelihood of non-progression. </w:t>
      </w:r>
      <w:r w:rsidR="004F3FED">
        <w:t>Next,</w:t>
      </w:r>
      <w:r w:rsidR="007A27DD">
        <w:t xml:space="preserve"> we added the three Higher Education</w:t>
      </w:r>
      <w:r w:rsidR="004F3FED">
        <w:t xml:space="preserve"> factors</w:t>
      </w:r>
      <w:r w:rsidR="007A27DD">
        <w:t xml:space="preserve">, of which </w:t>
      </w:r>
      <w:r w:rsidR="004F3FED">
        <w:t>Higher Education sector</w:t>
      </w:r>
      <w:r w:rsidR="007A27DD">
        <w:t xml:space="preserve"> was the most </w:t>
      </w:r>
      <w:r w:rsidR="004F3FED">
        <w:t>influential</w:t>
      </w:r>
      <w:r w:rsidR="007A27DD">
        <w:t xml:space="preserve"> in explaining </w:t>
      </w:r>
      <w:r w:rsidR="004F3FED">
        <w:t>differences in non-progression odds for the SUSI group</w:t>
      </w:r>
      <w:r w:rsidR="007A27DD">
        <w:t xml:space="preserve">. After adjusting for these factors, </w:t>
      </w:r>
      <w:r w:rsidR="004F3FED">
        <w:t>students receiving a SUSI award</w:t>
      </w:r>
      <w:r w:rsidR="007A27DD">
        <w:t xml:space="preserve"> had a 24% higher odds of non-progression</w:t>
      </w:r>
      <w:r w:rsidR="004F3FED">
        <w:t>.</w:t>
      </w:r>
      <w:r w:rsidR="007A27DD">
        <w:t xml:space="preserve"> </w:t>
      </w:r>
      <w:r w:rsidR="004F3FED">
        <w:t>C</w:t>
      </w:r>
      <w:r w:rsidR="007A27DD">
        <w:t>ollectively</w:t>
      </w:r>
      <w:r w:rsidR="004F3FED">
        <w:t>,</w:t>
      </w:r>
      <w:r w:rsidR="007A27DD">
        <w:t xml:space="preserve"> these set of factors explain more of the relationship than the sociodemographic factors considered. The final set of factors added were the two background schooling factors and Leaving Certificate points. The latter was the most influential factor of these. However, after adjusting for these factors</w:t>
      </w:r>
      <w:r w:rsidR="004F3FED">
        <w:t xml:space="preserve">, </w:t>
      </w:r>
      <w:r w:rsidR="007A27DD">
        <w:t>in the final model</w:t>
      </w:r>
      <w:r w:rsidR="004F3FED">
        <w:t xml:space="preserve">, students awarded a </w:t>
      </w:r>
      <w:r w:rsidR="007A27DD">
        <w:t xml:space="preserve">SUSI </w:t>
      </w:r>
      <w:r w:rsidR="004F3FED">
        <w:t>grant</w:t>
      </w:r>
      <w:r w:rsidR="007A27DD">
        <w:t xml:space="preserve"> still had an 8% higher odds of non-progression compared to </w:t>
      </w:r>
      <w:r w:rsidR="004F3FED">
        <w:t xml:space="preserve">those who </w:t>
      </w:r>
      <w:r w:rsidR="003A2739">
        <w:t>did,</w:t>
      </w:r>
      <w:r w:rsidR="007A27DD">
        <w:t xml:space="preserve"> and this difference was statistically significant.</w:t>
      </w:r>
    </w:p>
    <w:p w14:paraId="2186E7E9" w14:textId="2DF9B4F5" w:rsidR="003E0C28" w:rsidRPr="00FF062A" w:rsidRDefault="000B68ED" w:rsidP="00B966EE">
      <w:r w:rsidRPr="00C24869">
        <w:t xml:space="preserve">Appendix </w:t>
      </w:r>
      <w:r>
        <w:t>1</w:t>
      </w:r>
      <w:r w:rsidRPr="00C24869">
        <w:t xml:space="preserve"> contains a more detailed table of </w:t>
      </w:r>
      <w:r w:rsidR="00406187">
        <w:t>results</w:t>
      </w:r>
      <w:r w:rsidR="004F3FED">
        <w:t xml:space="preserve"> for the logistic regression modelling</w:t>
      </w:r>
      <w:r w:rsidRPr="00C24869">
        <w:t>, including coefficients for all variables</w:t>
      </w:r>
      <w:r w:rsidR="004F3FED">
        <w:t xml:space="preserve">. </w:t>
      </w:r>
      <w:r w:rsidRPr="00C24869">
        <w:t>MacFadden pseudo R</w:t>
      </w:r>
      <w:r w:rsidRPr="00C24869">
        <w:rPr>
          <w:vertAlign w:val="superscript"/>
        </w:rPr>
        <w:t>2</w:t>
      </w:r>
      <w:r w:rsidRPr="00C24869">
        <w:t xml:space="preserve"> squared</w:t>
      </w:r>
      <w:r w:rsidR="00A5492D">
        <w:t>,</w:t>
      </w:r>
      <w:r w:rsidRPr="00C24869">
        <w:t xml:space="preserve"> illustrating the fit of the model</w:t>
      </w:r>
      <w:r w:rsidR="00A5492D">
        <w:t>, is also included for each of the models</w:t>
      </w:r>
      <w:r w:rsidRPr="00C24869">
        <w:t>. The fully adjusted mod</w:t>
      </w:r>
      <w:r>
        <w:t>e</w:t>
      </w:r>
      <w:r w:rsidRPr="00C24869">
        <w:t>l has a pseudo R</w:t>
      </w:r>
      <w:r w:rsidRPr="00C24869">
        <w:rPr>
          <w:vertAlign w:val="superscript"/>
        </w:rPr>
        <w:t xml:space="preserve">2 </w:t>
      </w:r>
      <w:r w:rsidRPr="00C24869">
        <w:t xml:space="preserve">value of </w:t>
      </w:r>
      <w:r w:rsidR="00A5492D">
        <w:t>8.9</w:t>
      </w:r>
      <w:r w:rsidRPr="00C24869">
        <w:t>%, suggesting that there is a substantial amount of unexplained variance within the parameters of this model.</w:t>
      </w:r>
    </w:p>
    <w:p w14:paraId="39B0E276" w14:textId="2A9E7819" w:rsidR="001F771C" w:rsidRPr="00FF062A" w:rsidRDefault="006667B1" w:rsidP="00B966EE">
      <w:r w:rsidRPr="006667B1">
        <w:rPr>
          <w:noProof/>
        </w:rPr>
        <w:drawing>
          <wp:inline distT="0" distB="0" distL="0" distR="0" wp14:anchorId="7FAA188A" wp14:editId="3DAAD529">
            <wp:extent cx="5731510" cy="3437890"/>
            <wp:effectExtent l="0" t="0" r="0" b="0"/>
            <wp:docPr id="77009407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437890"/>
                    </a:xfrm>
                    <a:prstGeom prst="rect">
                      <a:avLst/>
                    </a:prstGeom>
                    <a:noFill/>
                    <a:ln>
                      <a:noFill/>
                    </a:ln>
                  </pic:spPr>
                </pic:pic>
              </a:graphicData>
            </a:graphic>
          </wp:inline>
        </w:drawing>
      </w:r>
    </w:p>
    <w:p w14:paraId="589D680D" w14:textId="77777777" w:rsidR="00A63A4E" w:rsidRDefault="00A63A4E" w:rsidP="00B966EE"/>
    <w:p w14:paraId="0403A029" w14:textId="77777777" w:rsidR="00A63A4E" w:rsidRDefault="00A63A4E" w:rsidP="00B966EE"/>
    <w:p w14:paraId="6FF971D2" w14:textId="77777777" w:rsidR="00A63A4E" w:rsidRDefault="00A63A4E" w:rsidP="00B966EE"/>
    <w:p w14:paraId="74641B47" w14:textId="77777777" w:rsidR="00A63A4E" w:rsidRDefault="00A63A4E" w:rsidP="00B966EE"/>
    <w:p w14:paraId="64F38D6A" w14:textId="77777777" w:rsidR="00A63A4E" w:rsidRDefault="00A63A4E" w:rsidP="00B966EE"/>
    <w:p w14:paraId="7EB3BE44" w14:textId="77777777" w:rsidR="00A63A4E" w:rsidRDefault="00A63A4E" w:rsidP="00B966EE"/>
    <w:p w14:paraId="548F6F1D" w14:textId="77777777" w:rsidR="00A63A4E" w:rsidRDefault="00A63A4E" w:rsidP="00B966EE"/>
    <w:p w14:paraId="18D8DFBB" w14:textId="77777777" w:rsidR="00A63A4E" w:rsidRDefault="00A63A4E" w:rsidP="00B966EE"/>
    <w:p w14:paraId="052AEF9B" w14:textId="77777777" w:rsidR="00A63A4E" w:rsidRDefault="00A63A4E" w:rsidP="00B966EE"/>
    <w:p w14:paraId="5BB1B1AB" w14:textId="77777777" w:rsidR="00A63A4E" w:rsidRDefault="00A63A4E" w:rsidP="00B966EE"/>
    <w:p w14:paraId="7F50F55E" w14:textId="29F3B8DE" w:rsidR="00A63A4E" w:rsidRDefault="006F0721" w:rsidP="006F0721">
      <w:pPr>
        <w:pStyle w:val="Title"/>
      </w:pPr>
      <w:r>
        <w:t>Appendix 1: Detailed regression tables</w:t>
      </w:r>
    </w:p>
    <w:p w14:paraId="00216F64" w14:textId="2EBEEAF9" w:rsidR="00536C6A" w:rsidRPr="00FF062A" w:rsidRDefault="002931E5" w:rsidP="00B966EE">
      <w:r w:rsidRPr="00FF062A">
        <w:t>Multivariate Logistic regression</w:t>
      </w:r>
      <w:r w:rsidR="00A41FEE">
        <w:t xml:space="preserve"> models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808"/>
        <w:gridCol w:w="742"/>
        <w:gridCol w:w="923"/>
        <w:gridCol w:w="742"/>
        <w:gridCol w:w="923"/>
        <w:gridCol w:w="742"/>
        <w:gridCol w:w="923"/>
        <w:gridCol w:w="742"/>
      </w:tblGrid>
      <w:tr w:rsidR="0042504F" w:rsidRPr="00406187" w14:paraId="71070C6F" w14:textId="77777777" w:rsidTr="00406187">
        <w:tc>
          <w:tcPr>
            <w:tcW w:w="0" w:type="auto"/>
            <w:gridSpan w:val="9"/>
          </w:tcPr>
          <w:p w14:paraId="638B45F1" w14:textId="77777777" w:rsidR="0042504F" w:rsidRPr="00406187" w:rsidRDefault="0042504F" w:rsidP="0063690F">
            <w:pPr>
              <w:rPr>
                <w:sz w:val="20"/>
                <w:szCs w:val="20"/>
                <w:lang w:val="en-IE"/>
              </w:rPr>
            </w:pPr>
            <w:r w:rsidRPr="00406187">
              <w:rPr>
                <w:rFonts w:ascii="Calibri" w:eastAsia="Calibri" w:hAnsi="Calibri" w:cs="Calibri"/>
                <w:b/>
                <w:sz w:val="20"/>
                <w:szCs w:val="20"/>
                <w:lang w:val="en-IE"/>
              </w:rPr>
              <w:t>Table 2: SUSI logistic Regression Modelling For Non-progression 2021/2022</w:t>
            </w:r>
          </w:p>
        </w:tc>
      </w:tr>
      <w:tr w:rsidR="0042504F" w:rsidRPr="00406187" w14:paraId="6EA8A259" w14:textId="77777777" w:rsidTr="00406187">
        <w:tc>
          <w:tcPr>
            <w:tcW w:w="2802" w:type="dxa"/>
          </w:tcPr>
          <w:p w14:paraId="3674EF04" w14:textId="77777777" w:rsidR="0042504F" w:rsidRPr="00406187" w:rsidRDefault="0042504F" w:rsidP="0063690F">
            <w:pPr>
              <w:rPr>
                <w:sz w:val="20"/>
                <w:szCs w:val="20"/>
                <w:lang w:val="en-IE"/>
              </w:rPr>
            </w:pPr>
          </w:p>
        </w:tc>
        <w:tc>
          <w:tcPr>
            <w:tcW w:w="1146" w:type="dxa"/>
            <w:gridSpan w:val="2"/>
            <w:vAlign w:val="bottom"/>
          </w:tcPr>
          <w:p w14:paraId="3F024D7C" w14:textId="10EE233D" w:rsidR="0042504F" w:rsidRPr="00406187" w:rsidRDefault="00406187" w:rsidP="0063690F">
            <w:pPr>
              <w:jc w:val="center"/>
              <w:rPr>
                <w:sz w:val="20"/>
                <w:szCs w:val="20"/>
                <w:lang w:val="en-IE"/>
              </w:rPr>
            </w:pPr>
            <w:r>
              <w:rPr>
                <w:sz w:val="20"/>
                <w:szCs w:val="20"/>
                <w:lang w:val="en-IE"/>
              </w:rPr>
              <w:t>Unadjusted</w:t>
            </w:r>
          </w:p>
        </w:tc>
        <w:tc>
          <w:tcPr>
            <w:tcW w:w="1876" w:type="dxa"/>
            <w:gridSpan w:val="2"/>
            <w:vAlign w:val="bottom"/>
          </w:tcPr>
          <w:p w14:paraId="56637080" w14:textId="575EAEBF" w:rsidR="0042504F" w:rsidRPr="00406187" w:rsidRDefault="00406187" w:rsidP="0063690F">
            <w:pPr>
              <w:jc w:val="center"/>
              <w:rPr>
                <w:sz w:val="20"/>
                <w:szCs w:val="20"/>
                <w:lang w:val="en-IE"/>
              </w:rPr>
            </w:pPr>
            <w:r>
              <w:rPr>
                <w:sz w:val="20"/>
                <w:szCs w:val="20"/>
                <w:lang w:val="en-IE"/>
              </w:rPr>
              <w:t>Socio-demography</w:t>
            </w:r>
          </w:p>
        </w:tc>
        <w:tc>
          <w:tcPr>
            <w:tcW w:w="1876" w:type="dxa"/>
            <w:gridSpan w:val="2"/>
            <w:vAlign w:val="bottom"/>
          </w:tcPr>
          <w:p w14:paraId="3FDFD244" w14:textId="5A417805" w:rsidR="0042504F" w:rsidRPr="00406187" w:rsidRDefault="00406187" w:rsidP="0063690F">
            <w:pPr>
              <w:jc w:val="center"/>
              <w:rPr>
                <w:sz w:val="20"/>
                <w:szCs w:val="20"/>
                <w:lang w:val="en-IE"/>
              </w:rPr>
            </w:pPr>
            <w:r>
              <w:rPr>
                <w:sz w:val="20"/>
                <w:szCs w:val="20"/>
                <w:lang w:val="en-IE"/>
              </w:rPr>
              <w:t>Higher Education</w:t>
            </w:r>
          </w:p>
        </w:tc>
        <w:tc>
          <w:tcPr>
            <w:tcW w:w="1876" w:type="dxa"/>
            <w:gridSpan w:val="2"/>
            <w:vAlign w:val="bottom"/>
          </w:tcPr>
          <w:p w14:paraId="08924689" w14:textId="10F663C8" w:rsidR="0042504F" w:rsidRPr="00406187" w:rsidRDefault="00406187" w:rsidP="0063690F">
            <w:pPr>
              <w:jc w:val="center"/>
              <w:rPr>
                <w:sz w:val="20"/>
                <w:szCs w:val="20"/>
                <w:lang w:val="en-IE"/>
              </w:rPr>
            </w:pPr>
            <w:r>
              <w:rPr>
                <w:sz w:val="20"/>
                <w:szCs w:val="20"/>
                <w:lang w:val="en-IE"/>
              </w:rPr>
              <w:t>Schooling &amp; Leaving Cert.</w:t>
            </w:r>
          </w:p>
        </w:tc>
      </w:tr>
      <w:tr w:rsidR="00406187" w:rsidRPr="00406187" w14:paraId="55B2257D" w14:textId="77777777" w:rsidTr="00406187">
        <w:tc>
          <w:tcPr>
            <w:tcW w:w="2802" w:type="dxa"/>
            <w:vAlign w:val="bottom"/>
          </w:tcPr>
          <w:p w14:paraId="56693375" w14:textId="77777777" w:rsidR="0042504F" w:rsidRPr="00406187" w:rsidRDefault="0042504F" w:rsidP="0063690F">
            <w:pPr>
              <w:rPr>
                <w:b/>
                <w:bCs/>
                <w:sz w:val="20"/>
                <w:szCs w:val="20"/>
                <w:lang w:val="en-IE"/>
              </w:rPr>
            </w:pPr>
            <w:r w:rsidRPr="00406187">
              <w:rPr>
                <w:b/>
                <w:bCs/>
                <w:sz w:val="20"/>
                <w:szCs w:val="20"/>
                <w:lang w:val="en-IE"/>
              </w:rPr>
              <w:t>Award of SUSI grant</w:t>
            </w:r>
          </w:p>
        </w:tc>
        <w:tc>
          <w:tcPr>
            <w:tcW w:w="258" w:type="dxa"/>
          </w:tcPr>
          <w:p w14:paraId="1CE7E48D" w14:textId="77777777" w:rsidR="0042504F" w:rsidRPr="00406187" w:rsidRDefault="0042504F" w:rsidP="0063690F">
            <w:pPr>
              <w:rPr>
                <w:b/>
                <w:bCs/>
                <w:sz w:val="20"/>
                <w:szCs w:val="20"/>
                <w:lang w:val="en-IE"/>
              </w:rPr>
            </w:pPr>
          </w:p>
        </w:tc>
        <w:tc>
          <w:tcPr>
            <w:tcW w:w="888" w:type="dxa"/>
          </w:tcPr>
          <w:p w14:paraId="0737AEEC" w14:textId="77777777" w:rsidR="0042504F" w:rsidRPr="00406187" w:rsidRDefault="0042504F" w:rsidP="0063690F">
            <w:pPr>
              <w:rPr>
                <w:b/>
                <w:bCs/>
                <w:sz w:val="20"/>
                <w:szCs w:val="20"/>
                <w:lang w:val="en-IE"/>
              </w:rPr>
            </w:pPr>
          </w:p>
        </w:tc>
        <w:tc>
          <w:tcPr>
            <w:tcW w:w="989" w:type="dxa"/>
          </w:tcPr>
          <w:p w14:paraId="7E3E41F6" w14:textId="77777777" w:rsidR="0042504F" w:rsidRPr="00406187" w:rsidRDefault="0042504F" w:rsidP="0063690F">
            <w:pPr>
              <w:rPr>
                <w:b/>
                <w:bCs/>
                <w:sz w:val="20"/>
                <w:szCs w:val="20"/>
                <w:lang w:val="en-IE"/>
              </w:rPr>
            </w:pPr>
          </w:p>
        </w:tc>
        <w:tc>
          <w:tcPr>
            <w:tcW w:w="887" w:type="dxa"/>
          </w:tcPr>
          <w:p w14:paraId="35757D58" w14:textId="77777777" w:rsidR="0042504F" w:rsidRPr="00406187" w:rsidRDefault="0042504F" w:rsidP="0063690F">
            <w:pPr>
              <w:rPr>
                <w:b/>
                <w:bCs/>
                <w:sz w:val="20"/>
                <w:szCs w:val="20"/>
                <w:lang w:val="en-IE"/>
              </w:rPr>
            </w:pPr>
          </w:p>
        </w:tc>
        <w:tc>
          <w:tcPr>
            <w:tcW w:w="989" w:type="dxa"/>
          </w:tcPr>
          <w:p w14:paraId="77565FEC" w14:textId="77777777" w:rsidR="0042504F" w:rsidRPr="00406187" w:rsidRDefault="0042504F" w:rsidP="0063690F">
            <w:pPr>
              <w:rPr>
                <w:b/>
                <w:bCs/>
                <w:sz w:val="20"/>
                <w:szCs w:val="20"/>
                <w:lang w:val="en-IE"/>
              </w:rPr>
            </w:pPr>
          </w:p>
        </w:tc>
        <w:tc>
          <w:tcPr>
            <w:tcW w:w="887" w:type="dxa"/>
          </w:tcPr>
          <w:p w14:paraId="47AAE176" w14:textId="77777777" w:rsidR="0042504F" w:rsidRPr="00406187" w:rsidRDefault="0042504F" w:rsidP="0063690F">
            <w:pPr>
              <w:rPr>
                <w:b/>
                <w:bCs/>
                <w:sz w:val="20"/>
                <w:szCs w:val="20"/>
                <w:lang w:val="en-IE"/>
              </w:rPr>
            </w:pPr>
          </w:p>
        </w:tc>
        <w:tc>
          <w:tcPr>
            <w:tcW w:w="989" w:type="dxa"/>
          </w:tcPr>
          <w:p w14:paraId="0198481C" w14:textId="77777777" w:rsidR="0042504F" w:rsidRPr="00406187" w:rsidRDefault="0042504F" w:rsidP="0063690F">
            <w:pPr>
              <w:rPr>
                <w:b/>
                <w:bCs/>
                <w:sz w:val="20"/>
                <w:szCs w:val="20"/>
                <w:lang w:val="en-IE"/>
              </w:rPr>
            </w:pPr>
          </w:p>
        </w:tc>
        <w:tc>
          <w:tcPr>
            <w:tcW w:w="887" w:type="dxa"/>
          </w:tcPr>
          <w:p w14:paraId="4A12FE49" w14:textId="77777777" w:rsidR="0042504F" w:rsidRPr="00406187" w:rsidRDefault="0042504F" w:rsidP="0063690F">
            <w:pPr>
              <w:rPr>
                <w:b/>
                <w:bCs/>
                <w:sz w:val="20"/>
                <w:szCs w:val="20"/>
                <w:lang w:val="en-IE"/>
              </w:rPr>
            </w:pPr>
          </w:p>
        </w:tc>
      </w:tr>
      <w:tr w:rsidR="00406187" w:rsidRPr="00406187" w14:paraId="308D1ADB" w14:textId="77777777" w:rsidTr="00406187">
        <w:tc>
          <w:tcPr>
            <w:tcW w:w="2802" w:type="dxa"/>
            <w:vAlign w:val="bottom"/>
          </w:tcPr>
          <w:p w14:paraId="2E551217" w14:textId="77777777" w:rsidR="0042504F" w:rsidRPr="00406187" w:rsidRDefault="0042504F" w:rsidP="0063690F">
            <w:pPr>
              <w:rPr>
                <w:b/>
                <w:bCs/>
                <w:sz w:val="20"/>
                <w:szCs w:val="20"/>
                <w:lang w:val="en-IE"/>
              </w:rPr>
            </w:pPr>
            <w:r w:rsidRPr="00406187">
              <w:rPr>
                <w:b/>
                <w:bCs/>
                <w:sz w:val="20"/>
                <w:szCs w:val="20"/>
                <w:lang w:val="en-IE"/>
              </w:rPr>
              <w:t xml:space="preserve">  Yes</w:t>
            </w:r>
          </w:p>
        </w:tc>
        <w:tc>
          <w:tcPr>
            <w:tcW w:w="258" w:type="dxa"/>
            <w:vAlign w:val="bottom"/>
          </w:tcPr>
          <w:p w14:paraId="10A3C27E" w14:textId="77777777" w:rsidR="0042504F" w:rsidRPr="00406187" w:rsidRDefault="0042504F" w:rsidP="0063690F">
            <w:pPr>
              <w:jc w:val="right"/>
              <w:rPr>
                <w:b/>
                <w:bCs/>
                <w:sz w:val="20"/>
                <w:szCs w:val="20"/>
                <w:lang w:val="en-IE"/>
              </w:rPr>
            </w:pPr>
            <w:r w:rsidRPr="00406187">
              <w:rPr>
                <w:b/>
                <w:bCs/>
                <w:sz w:val="20"/>
                <w:szCs w:val="20"/>
                <w:lang w:val="en-IE"/>
              </w:rPr>
              <w:t>1.500</w:t>
            </w:r>
          </w:p>
        </w:tc>
        <w:tc>
          <w:tcPr>
            <w:tcW w:w="888" w:type="dxa"/>
            <w:vAlign w:val="bottom"/>
          </w:tcPr>
          <w:p w14:paraId="75690FD8" w14:textId="77777777" w:rsidR="0042504F" w:rsidRPr="00406187" w:rsidRDefault="0042504F" w:rsidP="0063690F">
            <w:pPr>
              <w:rPr>
                <w:b/>
                <w:bCs/>
                <w:sz w:val="20"/>
                <w:szCs w:val="20"/>
                <w:lang w:val="en-IE"/>
              </w:rPr>
            </w:pPr>
            <w:r w:rsidRPr="00406187">
              <w:rPr>
                <w:b/>
                <w:bCs/>
                <w:sz w:val="20"/>
                <w:szCs w:val="20"/>
                <w:lang w:val="en-IE"/>
              </w:rPr>
              <w:t>***</w:t>
            </w:r>
          </w:p>
        </w:tc>
        <w:tc>
          <w:tcPr>
            <w:tcW w:w="989" w:type="dxa"/>
            <w:vAlign w:val="bottom"/>
          </w:tcPr>
          <w:p w14:paraId="5A91DAE3" w14:textId="77777777" w:rsidR="0042504F" w:rsidRPr="00406187" w:rsidRDefault="0042504F" w:rsidP="0063690F">
            <w:pPr>
              <w:jc w:val="right"/>
              <w:rPr>
                <w:b/>
                <w:bCs/>
                <w:sz w:val="20"/>
                <w:szCs w:val="20"/>
                <w:lang w:val="en-IE"/>
              </w:rPr>
            </w:pPr>
            <w:r w:rsidRPr="00406187">
              <w:rPr>
                <w:b/>
                <w:bCs/>
                <w:sz w:val="20"/>
                <w:szCs w:val="20"/>
                <w:lang w:val="en-IE"/>
              </w:rPr>
              <w:t>1.413</w:t>
            </w:r>
          </w:p>
        </w:tc>
        <w:tc>
          <w:tcPr>
            <w:tcW w:w="887" w:type="dxa"/>
            <w:vAlign w:val="bottom"/>
          </w:tcPr>
          <w:p w14:paraId="28871567" w14:textId="77777777" w:rsidR="0042504F" w:rsidRPr="00406187" w:rsidRDefault="0042504F" w:rsidP="0063690F">
            <w:pPr>
              <w:rPr>
                <w:b/>
                <w:bCs/>
                <w:sz w:val="20"/>
                <w:szCs w:val="20"/>
                <w:lang w:val="en-IE"/>
              </w:rPr>
            </w:pPr>
            <w:r w:rsidRPr="00406187">
              <w:rPr>
                <w:b/>
                <w:bCs/>
                <w:sz w:val="20"/>
                <w:szCs w:val="20"/>
                <w:lang w:val="en-IE"/>
              </w:rPr>
              <w:t>***</w:t>
            </w:r>
          </w:p>
        </w:tc>
        <w:tc>
          <w:tcPr>
            <w:tcW w:w="989" w:type="dxa"/>
            <w:vAlign w:val="bottom"/>
          </w:tcPr>
          <w:p w14:paraId="614CC936" w14:textId="77777777" w:rsidR="0042504F" w:rsidRPr="00406187" w:rsidRDefault="0042504F" w:rsidP="0063690F">
            <w:pPr>
              <w:jc w:val="right"/>
              <w:rPr>
                <w:b/>
                <w:bCs/>
                <w:sz w:val="20"/>
                <w:szCs w:val="20"/>
                <w:lang w:val="en-IE"/>
              </w:rPr>
            </w:pPr>
            <w:r w:rsidRPr="00406187">
              <w:rPr>
                <w:b/>
                <w:bCs/>
                <w:sz w:val="20"/>
                <w:szCs w:val="20"/>
                <w:lang w:val="en-IE"/>
              </w:rPr>
              <w:t>1.243</w:t>
            </w:r>
          </w:p>
        </w:tc>
        <w:tc>
          <w:tcPr>
            <w:tcW w:w="887" w:type="dxa"/>
            <w:vAlign w:val="bottom"/>
          </w:tcPr>
          <w:p w14:paraId="59D010AE" w14:textId="77777777" w:rsidR="0042504F" w:rsidRPr="00406187" w:rsidRDefault="0042504F" w:rsidP="0063690F">
            <w:pPr>
              <w:rPr>
                <w:b/>
                <w:bCs/>
                <w:sz w:val="20"/>
                <w:szCs w:val="20"/>
                <w:lang w:val="en-IE"/>
              </w:rPr>
            </w:pPr>
            <w:r w:rsidRPr="00406187">
              <w:rPr>
                <w:b/>
                <w:bCs/>
                <w:sz w:val="20"/>
                <w:szCs w:val="20"/>
                <w:lang w:val="en-IE"/>
              </w:rPr>
              <w:t>***</w:t>
            </w:r>
          </w:p>
        </w:tc>
        <w:tc>
          <w:tcPr>
            <w:tcW w:w="989" w:type="dxa"/>
            <w:vAlign w:val="bottom"/>
          </w:tcPr>
          <w:p w14:paraId="1E1CCAEA" w14:textId="77777777" w:rsidR="0042504F" w:rsidRPr="00406187" w:rsidRDefault="0042504F" w:rsidP="0063690F">
            <w:pPr>
              <w:jc w:val="right"/>
              <w:rPr>
                <w:b/>
                <w:bCs/>
                <w:sz w:val="20"/>
                <w:szCs w:val="20"/>
                <w:lang w:val="en-IE"/>
              </w:rPr>
            </w:pPr>
            <w:r w:rsidRPr="00406187">
              <w:rPr>
                <w:b/>
                <w:bCs/>
                <w:sz w:val="20"/>
                <w:szCs w:val="20"/>
                <w:lang w:val="en-IE"/>
              </w:rPr>
              <w:t>1.077</w:t>
            </w:r>
          </w:p>
        </w:tc>
        <w:tc>
          <w:tcPr>
            <w:tcW w:w="887" w:type="dxa"/>
            <w:vAlign w:val="bottom"/>
          </w:tcPr>
          <w:p w14:paraId="51A13578" w14:textId="77777777" w:rsidR="0042504F" w:rsidRPr="00406187" w:rsidRDefault="0042504F" w:rsidP="0063690F">
            <w:pPr>
              <w:rPr>
                <w:b/>
                <w:bCs/>
                <w:sz w:val="20"/>
                <w:szCs w:val="20"/>
                <w:lang w:val="en-IE"/>
              </w:rPr>
            </w:pPr>
            <w:r w:rsidRPr="00406187">
              <w:rPr>
                <w:b/>
                <w:bCs/>
                <w:sz w:val="20"/>
                <w:szCs w:val="20"/>
                <w:lang w:val="en-IE"/>
              </w:rPr>
              <w:t>*</w:t>
            </w:r>
          </w:p>
        </w:tc>
      </w:tr>
      <w:tr w:rsidR="00406187" w:rsidRPr="00406187" w14:paraId="0D330CF1" w14:textId="77777777" w:rsidTr="00406187">
        <w:tc>
          <w:tcPr>
            <w:tcW w:w="2802" w:type="dxa"/>
            <w:vAlign w:val="bottom"/>
          </w:tcPr>
          <w:p w14:paraId="304C0A5E" w14:textId="77777777" w:rsidR="0042504F" w:rsidRPr="00406187" w:rsidRDefault="0042504F" w:rsidP="0063690F">
            <w:pPr>
              <w:rPr>
                <w:sz w:val="20"/>
                <w:szCs w:val="20"/>
                <w:lang w:val="en-IE"/>
              </w:rPr>
            </w:pPr>
            <w:r w:rsidRPr="00406187">
              <w:rPr>
                <w:sz w:val="20"/>
                <w:szCs w:val="20"/>
                <w:lang w:val="en-IE"/>
              </w:rPr>
              <w:t>Gender</w:t>
            </w:r>
          </w:p>
        </w:tc>
        <w:tc>
          <w:tcPr>
            <w:tcW w:w="258" w:type="dxa"/>
          </w:tcPr>
          <w:p w14:paraId="70368493" w14:textId="77777777" w:rsidR="0042504F" w:rsidRPr="00406187" w:rsidRDefault="0042504F" w:rsidP="0063690F">
            <w:pPr>
              <w:rPr>
                <w:sz w:val="20"/>
                <w:szCs w:val="20"/>
                <w:lang w:val="en-IE"/>
              </w:rPr>
            </w:pPr>
          </w:p>
        </w:tc>
        <w:tc>
          <w:tcPr>
            <w:tcW w:w="888" w:type="dxa"/>
          </w:tcPr>
          <w:p w14:paraId="7688DFBA" w14:textId="77777777" w:rsidR="0042504F" w:rsidRPr="00406187" w:rsidRDefault="0042504F" w:rsidP="0063690F">
            <w:pPr>
              <w:rPr>
                <w:sz w:val="20"/>
                <w:szCs w:val="20"/>
                <w:lang w:val="en-IE"/>
              </w:rPr>
            </w:pPr>
          </w:p>
        </w:tc>
        <w:tc>
          <w:tcPr>
            <w:tcW w:w="989" w:type="dxa"/>
          </w:tcPr>
          <w:p w14:paraId="7BFBEB29" w14:textId="77777777" w:rsidR="0042504F" w:rsidRPr="00406187" w:rsidRDefault="0042504F" w:rsidP="0063690F">
            <w:pPr>
              <w:rPr>
                <w:sz w:val="20"/>
                <w:szCs w:val="20"/>
                <w:lang w:val="en-IE"/>
              </w:rPr>
            </w:pPr>
          </w:p>
        </w:tc>
        <w:tc>
          <w:tcPr>
            <w:tcW w:w="887" w:type="dxa"/>
          </w:tcPr>
          <w:p w14:paraId="0A798932" w14:textId="77777777" w:rsidR="0042504F" w:rsidRPr="00406187" w:rsidRDefault="0042504F" w:rsidP="0063690F">
            <w:pPr>
              <w:rPr>
                <w:sz w:val="20"/>
                <w:szCs w:val="20"/>
                <w:lang w:val="en-IE"/>
              </w:rPr>
            </w:pPr>
          </w:p>
        </w:tc>
        <w:tc>
          <w:tcPr>
            <w:tcW w:w="989" w:type="dxa"/>
          </w:tcPr>
          <w:p w14:paraId="7390FC08" w14:textId="77777777" w:rsidR="0042504F" w:rsidRPr="00406187" w:rsidRDefault="0042504F" w:rsidP="0063690F">
            <w:pPr>
              <w:rPr>
                <w:sz w:val="20"/>
                <w:szCs w:val="20"/>
                <w:lang w:val="en-IE"/>
              </w:rPr>
            </w:pPr>
          </w:p>
        </w:tc>
        <w:tc>
          <w:tcPr>
            <w:tcW w:w="887" w:type="dxa"/>
          </w:tcPr>
          <w:p w14:paraId="1C21B9F1" w14:textId="77777777" w:rsidR="0042504F" w:rsidRPr="00406187" w:rsidRDefault="0042504F" w:rsidP="0063690F">
            <w:pPr>
              <w:rPr>
                <w:sz w:val="20"/>
                <w:szCs w:val="20"/>
                <w:lang w:val="en-IE"/>
              </w:rPr>
            </w:pPr>
          </w:p>
        </w:tc>
        <w:tc>
          <w:tcPr>
            <w:tcW w:w="989" w:type="dxa"/>
          </w:tcPr>
          <w:p w14:paraId="54E70FEB" w14:textId="77777777" w:rsidR="0042504F" w:rsidRPr="00406187" w:rsidRDefault="0042504F" w:rsidP="0063690F">
            <w:pPr>
              <w:rPr>
                <w:sz w:val="20"/>
                <w:szCs w:val="20"/>
                <w:lang w:val="en-IE"/>
              </w:rPr>
            </w:pPr>
          </w:p>
        </w:tc>
        <w:tc>
          <w:tcPr>
            <w:tcW w:w="887" w:type="dxa"/>
          </w:tcPr>
          <w:p w14:paraId="3F5A7B25" w14:textId="77777777" w:rsidR="0042504F" w:rsidRPr="00406187" w:rsidRDefault="0042504F" w:rsidP="0063690F">
            <w:pPr>
              <w:rPr>
                <w:sz w:val="20"/>
                <w:szCs w:val="20"/>
                <w:lang w:val="en-IE"/>
              </w:rPr>
            </w:pPr>
          </w:p>
        </w:tc>
      </w:tr>
      <w:tr w:rsidR="00406187" w:rsidRPr="00406187" w14:paraId="0EFE8EB1" w14:textId="77777777" w:rsidTr="00406187">
        <w:tc>
          <w:tcPr>
            <w:tcW w:w="2802" w:type="dxa"/>
            <w:vAlign w:val="bottom"/>
          </w:tcPr>
          <w:p w14:paraId="7A842C80" w14:textId="77777777" w:rsidR="0042504F" w:rsidRPr="00406187" w:rsidRDefault="0042504F" w:rsidP="0063690F">
            <w:pPr>
              <w:rPr>
                <w:sz w:val="20"/>
                <w:szCs w:val="20"/>
                <w:lang w:val="en-IE"/>
              </w:rPr>
            </w:pPr>
            <w:r w:rsidRPr="00406187">
              <w:rPr>
                <w:sz w:val="20"/>
                <w:szCs w:val="20"/>
                <w:lang w:val="en-IE"/>
              </w:rPr>
              <w:t xml:space="preserve">  Male</w:t>
            </w:r>
          </w:p>
        </w:tc>
        <w:tc>
          <w:tcPr>
            <w:tcW w:w="258" w:type="dxa"/>
          </w:tcPr>
          <w:p w14:paraId="3BAC181F" w14:textId="77777777" w:rsidR="0042504F" w:rsidRPr="00406187" w:rsidRDefault="0042504F" w:rsidP="0063690F">
            <w:pPr>
              <w:rPr>
                <w:sz w:val="20"/>
                <w:szCs w:val="20"/>
                <w:lang w:val="en-IE"/>
              </w:rPr>
            </w:pPr>
          </w:p>
        </w:tc>
        <w:tc>
          <w:tcPr>
            <w:tcW w:w="888" w:type="dxa"/>
          </w:tcPr>
          <w:p w14:paraId="54262D36" w14:textId="77777777" w:rsidR="0042504F" w:rsidRPr="00406187" w:rsidRDefault="0042504F" w:rsidP="0063690F">
            <w:pPr>
              <w:rPr>
                <w:sz w:val="20"/>
                <w:szCs w:val="20"/>
                <w:lang w:val="en-IE"/>
              </w:rPr>
            </w:pPr>
          </w:p>
        </w:tc>
        <w:tc>
          <w:tcPr>
            <w:tcW w:w="989" w:type="dxa"/>
            <w:vAlign w:val="bottom"/>
          </w:tcPr>
          <w:p w14:paraId="57A14330" w14:textId="77777777" w:rsidR="0042504F" w:rsidRPr="00406187" w:rsidRDefault="0042504F" w:rsidP="0063690F">
            <w:pPr>
              <w:jc w:val="right"/>
              <w:rPr>
                <w:sz w:val="20"/>
                <w:szCs w:val="20"/>
                <w:lang w:val="en-IE"/>
              </w:rPr>
            </w:pPr>
            <w:r w:rsidRPr="00406187">
              <w:rPr>
                <w:sz w:val="20"/>
                <w:szCs w:val="20"/>
                <w:lang w:val="en-IE"/>
              </w:rPr>
              <w:t>1.571</w:t>
            </w:r>
          </w:p>
        </w:tc>
        <w:tc>
          <w:tcPr>
            <w:tcW w:w="887" w:type="dxa"/>
            <w:vAlign w:val="bottom"/>
          </w:tcPr>
          <w:p w14:paraId="609B68B8"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450D4458" w14:textId="77777777" w:rsidR="0042504F" w:rsidRPr="00406187" w:rsidRDefault="0042504F" w:rsidP="0063690F">
            <w:pPr>
              <w:jc w:val="right"/>
              <w:rPr>
                <w:sz w:val="20"/>
                <w:szCs w:val="20"/>
                <w:lang w:val="en-IE"/>
              </w:rPr>
            </w:pPr>
            <w:r w:rsidRPr="00406187">
              <w:rPr>
                <w:sz w:val="20"/>
                <w:szCs w:val="20"/>
                <w:lang w:val="en-IE"/>
              </w:rPr>
              <w:t>1.346</w:t>
            </w:r>
          </w:p>
        </w:tc>
        <w:tc>
          <w:tcPr>
            <w:tcW w:w="887" w:type="dxa"/>
            <w:vAlign w:val="bottom"/>
          </w:tcPr>
          <w:p w14:paraId="2903B438"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0E25906E" w14:textId="77777777" w:rsidR="0042504F" w:rsidRPr="00406187" w:rsidRDefault="0042504F" w:rsidP="0063690F">
            <w:pPr>
              <w:jc w:val="right"/>
              <w:rPr>
                <w:sz w:val="20"/>
                <w:szCs w:val="20"/>
                <w:lang w:val="en-IE"/>
              </w:rPr>
            </w:pPr>
            <w:r w:rsidRPr="00406187">
              <w:rPr>
                <w:sz w:val="20"/>
                <w:szCs w:val="20"/>
                <w:lang w:val="en-IE"/>
              </w:rPr>
              <w:t>1.216</w:t>
            </w:r>
          </w:p>
        </w:tc>
        <w:tc>
          <w:tcPr>
            <w:tcW w:w="887" w:type="dxa"/>
            <w:vAlign w:val="bottom"/>
          </w:tcPr>
          <w:p w14:paraId="52227565"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60F03E2D" w14:textId="77777777" w:rsidTr="00406187">
        <w:tc>
          <w:tcPr>
            <w:tcW w:w="2802" w:type="dxa"/>
            <w:vAlign w:val="bottom"/>
          </w:tcPr>
          <w:p w14:paraId="56B4DE76" w14:textId="77777777" w:rsidR="0042504F" w:rsidRPr="00406187" w:rsidRDefault="0042504F" w:rsidP="0063690F">
            <w:pPr>
              <w:rPr>
                <w:sz w:val="20"/>
                <w:szCs w:val="20"/>
                <w:lang w:val="en-IE"/>
              </w:rPr>
            </w:pPr>
            <w:r w:rsidRPr="00406187">
              <w:rPr>
                <w:sz w:val="20"/>
                <w:szCs w:val="20"/>
                <w:lang w:val="en-IE"/>
              </w:rPr>
              <w:t xml:space="preserve">  Other</w:t>
            </w:r>
          </w:p>
        </w:tc>
        <w:tc>
          <w:tcPr>
            <w:tcW w:w="258" w:type="dxa"/>
          </w:tcPr>
          <w:p w14:paraId="73C73D9D" w14:textId="77777777" w:rsidR="0042504F" w:rsidRPr="00406187" w:rsidRDefault="0042504F" w:rsidP="0063690F">
            <w:pPr>
              <w:rPr>
                <w:sz w:val="20"/>
                <w:szCs w:val="20"/>
                <w:lang w:val="en-IE"/>
              </w:rPr>
            </w:pPr>
          </w:p>
        </w:tc>
        <w:tc>
          <w:tcPr>
            <w:tcW w:w="888" w:type="dxa"/>
          </w:tcPr>
          <w:p w14:paraId="3D93ADB1" w14:textId="77777777" w:rsidR="0042504F" w:rsidRPr="00406187" w:rsidRDefault="0042504F" w:rsidP="0063690F">
            <w:pPr>
              <w:rPr>
                <w:sz w:val="20"/>
                <w:szCs w:val="20"/>
                <w:lang w:val="en-IE"/>
              </w:rPr>
            </w:pPr>
          </w:p>
        </w:tc>
        <w:tc>
          <w:tcPr>
            <w:tcW w:w="989" w:type="dxa"/>
            <w:vAlign w:val="bottom"/>
          </w:tcPr>
          <w:p w14:paraId="657B2A4D" w14:textId="77777777" w:rsidR="0042504F" w:rsidRPr="00406187" w:rsidRDefault="0042504F" w:rsidP="0063690F">
            <w:pPr>
              <w:jc w:val="right"/>
              <w:rPr>
                <w:sz w:val="20"/>
                <w:szCs w:val="20"/>
                <w:lang w:val="en-IE"/>
              </w:rPr>
            </w:pPr>
            <w:r w:rsidRPr="00406187">
              <w:rPr>
                <w:sz w:val="20"/>
                <w:szCs w:val="20"/>
                <w:lang w:val="en-IE"/>
              </w:rPr>
              <w:t>1.277</w:t>
            </w:r>
          </w:p>
        </w:tc>
        <w:tc>
          <w:tcPr>
            <w:tcW w:w="887" w:type="dxa"/>
          </w:tcPr>
          <w:p w14:paraId="4112C55B" w14:textId="77777777" w:rsidR="0042504F" w:rsidRPr="00406187" w:rsidRDefault="0042504F" w:rsidP="0063690F">
            <w:pPr>
              <w:rPr>
                <w:sz w:val="20"/>
                <w:szCs w:val="20"/>
                <w:lang w:val="en-IE"/>
              </w:rPr>
            </w:pPr>
          </w:p>
        </w:tc>
        <w:tc>
          <w:tcPr>
            <w:tcW w:w="989" w:type="dxa"/>
            <w:vAlign w:val="bottom"/>
          </w:tcPr>
          <w:p w14:paraId="082A17CB" w14:textId="77777777" w:rsidR="0042504F" w:rsidRPr="00406187" w:rsidRDefault="0042504F" w:rsidP="0063690F">
            <w:pPr>
              <w:jc w:val="right"/>
              <w:rPr>
                <w:sz w:val="20"/>
                <w:szCs w:val="20"/>
                <w:lang w:val="en-IE"/>
              </w:rPr>
            </w:pPr>
            <w:r w:rsidRPr="00406187">
              <w:rPr>
                <w:sz w:val="20"/>
                <w:szCs w:val="20"/>
                <w:lang w:val="en-IE"/>
              </w:rPr>
              <w:t>1.477</w:t>
            </w:r>
          </w:p>
        </w:tc>
        <w:tc>
          <w:tcPr>
            <w:tcW w:w="887" w:type="dxa"/>
            <w:vAlign w:val="bottom"/>
          </w:tcPr>
          <w:p w14:paraId="51DF7128"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0404DE08" w14:textId="77777777" w:rsidR="0042504F" w:rsidRPr="00406187" w:rsidRDefault="0042504F" w:rsidP="0063690F">
            <w:pPr>
              <w:jc w:val="right"/>
              <w:rPr>
                <w:sz w:val="20"/>
                <w:szCs w:val="20"/>
                <w:lang w:val="en-IE"/>
              </w:rPr>
            </w:pPr>
            <w:r w:rsidRPr="00406187">
              <w:rPr>
                <w:sz w:val="20"/>
                <w:szCs w:val="20"/>
                <w:lang w:val="en-IE"/>
              </w:rPr>
              <w:t>1.404</w:t>
            </w:r>
          </w:p>
        </w:tc>
        <w:tc>
          <w:tcPr>
            <w:tcW w:w="887" w:type="dxa"/>
            <w:vAlign w:val="bottom"/>
          </w:tcPr>
          <w:p w14:paraId="49C68BDB"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65F6F737" w14:textId="77777777" w:rsidTr="00406187">
        <w:tc>
          <w:tcPr>
            <w:tcW w:w="2802" w:type="dxa"/>
            <w:vAlign w:val="bottom"/>
          </w:tcPr>
          <w:p w14:paraId="7B8E3A95" w14:textId="77777777" w:rsidR="0042504F" w:rsidRPr="00406187" w:rsidRDefault="0042504F" w:rsidP="0063690F">
            <w:pPr>
              <w:rPr>
                <w:sz w:val="20"/>
                <w:szCs w:val="20"/>
                <w:lang w:val="en-IE"/>
              </w:rPr>
            </w:pPr>
            <w:r w:rsidRPr="00406187">
              <w:rPr>
                <w:sz w:val="20"/>
                <w:szCs w:val="20"/>
                <w:lang w:val="en-IE"/>
              </w:rPr>
              <w:t>Age category</w:t>
            </w:r>
          </w:p>
        </w:tc>
        <w:tc>
          <w:tcPr>
            <w:tcW w:w="258" w:type="dxa"/>
          </w:tcPr>
          <w:p w14:paraId="1A6A5819" w14:textId="77777777" w:rsidR="0042504F" w:rsidRPr="00406187" w:rsidRDefault="0042504F" w:rsidP="0063690F">
            <w:pPr>
              <w:rPr>
                <w:sz w:val="20"/>
                <w:szCs w:val="20"/>
                <w:lang w:val="en-IE"/>
              </w:rPr>
            </w:pPr>
          </w:p>
        </w:tc>
        <w:tc>
          <w:tcPr>
            <w:tcW w:w="888" w:type="dxa"/>
          </w:tcPr>
          <w:p w14:paraId="7CC27532" w14:textId="77777777" w:rsidR="0042504F" w:rsidRPr="00406187" w:rsidRDefault="0042504F" w:rsidP="0063690F">
            <w:pPr>
              <w:rPr>
                <w:sz w:val="20"/>
                <w:szCs w:val="20"/>
                <w:lang w:val="en-IE"/>
              </w:rPr>
            </w:pPr>
          </w:p>
        </w:tc>
        <w:tc>
          <w:tcPr>
            <w:tcW w:w="989" w:type="dxa"/>
          </w:tcPr>
          <w:p w14:paraId="4B16EF42" w14:textId="77777777" w:rsidR="0042504F" w:rsidRPr="00406187" w:rsidRDefault="0042504F" w:rsidP="0063690F">
            <w:pPr>
              <w:rPr>
                <w:sz w:val="20"/>
                <w:szCs w:val="20"/>
                <w:lang w:val="en-IE"/>
              </w:rPr>
            </w:pPr>
          </w:p>
        </w:tc>
        <w:tc>
          <w:tcPr>
            <w:tcW w:w="887" w:type="dxa"/>
          </w:tcPr>
          <w:p w14:paraId="49E586A0" w14:textId="77777777" w:rsidR="0042504F" w:rsidRPr="00406187" w:rsidRDefault="0042504F" w:rsidP="0063690F">
            <w:pPr>
              <w:rPr>
                <w:sz w:val="20"/>
                <w:szCs w:val="20"/>
                <w:lang w:val="en-IE"/>
              </w:rPr>
            </w:pPr>
          </w:p>
        </w:tc>
        <w:tc>
          <w:tcPr>
            <w:tcW w:w="989" w:type="dxa"/>
          </w:tcPr>
          <w:p w14:paraId="056A8531" w14:textId="77777777" w:rsidR="0042504F" w:rsidRPr="00406187" w:rsidRDefault="0042504F" w:rsidP="0063690F">
            <w:pPr>
              <w:rPr>
                <w:sz w:val="20"/>
                <w:szCs w:val="20"/>
                <w:lang w:val="en-IE"/>
              </w:rPr>
            </w:pPr>
          </w:p>
        </w:tc>
        <w:tc>
          <w:tcPr>
            <w:tcW w:w="887" w:type="dxa"/>
          </w:tcPr>
          <w:p w14:paraId="62844CD7" w14:textId="77777777" w:rsidR="0042504F" w:rsidRPr="00406187" w:rsidRDefault="0042504F" w:rsidP="0063690F">
            <w:pPr>
              <w:rPr>
                <w:sz w:val="20"/>
                <w:szCs w:val="20"/>
                <w:lang w:val="en-IE"/>
              </w:rPr>
            </w:pPr>
          </w:p>
        </w:tc>
        <w:tc>
          <w:tcPr>
            <w:tcW w:w="989" w:type="dxa"/>
          </w:tcPr>
          <w:p w14:paraId="0884BC1C" w14:textId="77777777" w:rsidR="0042504F" w:rsidRPr="00406187" w:rsidRDefault="0042504F" w:rsidP="0063690F">
            <w:pPr>
              <w:rPr>
                <w:sz w:val="20"/>
                <w:szCs w:val="20"/>
                <w:lang w:val="en-IE"/>
              </w:rPr>
            </w:pPr>
          </w:p>
        </w:tc>
        <w:tc>
          <w:tcPr>
            <w:tcW w:w="887" w:type="dxa"/>
          </w:tcPr>
          <w:p w14:paraId="67313624" w14:textId="77777777" w:rsidR="0042504F" w:rsidRPr="00406187" w:rsidRDefault="0042504F" w:rsidP="0063690F">
            <w:pPr>
              <w:rPr>
                <w:sz w:val="20"/>
                <w:szCs w:val="20"/>
                <w:lang w:val="en-IE"/>
              </w:rPr>
            </w:pPr>
          </w:p>
        </w:tc>
      </w:tr>
      <w:tr w:rsidR="00406187" w:rsidRPr="00406187" w14:paraId="58CC6B45" w14:textId="77777777" w:rsidTr="00406187">
        <w:tc>
          <w:tcPr>
            <w:tcW w:w="2802" w:type="dxa"/>
            <w:vAlign w:val="bottom"/>
          </w:tcPr>
          <w:p w14:paraId="4E76E7A6" w14:textId="77777777" w:rsidR="0042504F" w:rsidRPr="00406187" w:rsidRDefault="0042504F" w:rsidP="0063690F">
            <w:pPr>
              <w:rPr>
                <w:sz w:val="20"/>
                <w:szCs w:val="20"/>
                <w:lang w:val="en-IE"/>
              </w:rPr>
            </w:pPr>
            <w:r w:rsidRPr="00406187">
              <w:rPr>
                <w:sz w:val="20"/>
                <w:szCs w:val="20"/>
                <w:lang w:val="en-IE"/>
              </w:rPr>
              <w:t xml:space="preserve">  16-18</w:t>
            </w:r>
          </w:p>
        </w:tc>
        <w:tc>
          <w:tcPr>
            <w:tcW w:w="258" w:type="dxa"/>
          </w:tcPr>
          <w:p w14:paraId="42A1B002" w14:textId="77777777" w:rsidR="0042504F" w:rsidRPr="00406187" w:rsidRDefault="0042504F" w:rsidP="0063690F">
            <w:pPr>
              <w:rPr>
                <w:sz w:val="20"/>
                <w:szCs w:val="20"/>
                <w:lang w:val="en-IE"/>
              </w:rPr>
            </w:pPr>
          </w:p>
        </w:tc>
        <w:tc>
          <w:tcPr>
            <w:tcW w:w="888" w:type="dxa"/>
          </w:tcPr>
          <w:p w14:paraId="4FEA1B5C" w14:textId="77777777" w:rsidR="0042504F" w:rsidRPr="00406187" w:rsidRDefault="0042504F" w:rsidP="0063690F">
            <w:pPr>
              <w:rPr>
                <w:sz w:val="20"/>
                <w:szCs w:val="20"/>
                <w:lang w:val="en-IE"/>
              </w:rPr>
            </w:pPr>
          </w:p>
        </w:tc>
        <w:tc>
          <w:tcPr>
            <w:tcW w:w="989" w:type="dxa"/>
            <w:vAlign w:val="bottom"/>
          </w:tcPr>
          <w:p w14:paraId="63288212" w14:textId="77777777" w:rsidR="0042504F" w:rsidRPr="00406187" w:rsidRDefault="0042504F" w:rsidP="0063690F">
            <w:pPr>
              <w:jc w:val="right"/>
              <w:rPr>
                <w:sz w:val="20"/>
                <w:szCs w:val="20"/>
                <w:lang w:val="en-IE"/>
              </w:rPr>
            </w:pPr>
            <w:r w:rsidRPr="00406187">
              <w:rPr>
                <w:sz w:val="20"/>
                <w:szCs w:val="20"/>
                <w:lang w:val="en-IE"/>
              </w:rPr>
              <w:t>1.025</w:t>
            </w:r>
          </w:p>
        </w:tc>
        <w:tc>
          <w:tcPr>
            <w:tcW w:w="887" w:type="dxa"/>
          </w:tcPr>
          <w:p w14:paraId="2412CABA" w14:textId="77777777" w:rsidR="0042504F" w:rsidRPr="00406187" w:rsidRDefault="0042504F" w:rsidP="0063690F">
            <w:pPr>
              <w:rPr>
                <w:sz w:val="20"/>
                <w:szCs w:val="20"/>
                <w:lang w:val="en-IE"/>
              </w:rPr>
            </w:pPr>
          </w:p>
        </w:tc>
        <w:tc>
          <w:tcPr>
            <w:tcW w:w="989" w:type="dxa"/>
            <w:vAlign w:val="bottom"/>
          </w:tcPr>
          <w:p w14:paraId="7FF80168" w14:textId="77777777" w:rsidR="0042504F" w:rsidRPr="00406187" w:rsidRDefault="0042504F" w:rsidP="0063690F">
            <w:pPr>
              <w:jc w:val="right"/>
              <w:rPr>
                <w:sz w:val="20"/>
                <w:szCs w:val="20"/>
                <w:lang w:val="en-IE"/>
              </w:rPr>
            </w:pPr>
            <w:r w:rsidRPr="00406187">
              <w:rPr>
                <w:sz w:val="20"/>
                <w:szCs w:val="20"/>
                <w:lang w:val="en-IE"/>
              </w:rPr>
              <w:t>1.017</w:t>
            </w:r>
          </w:p>
        </w:tc>
        <w:tc>
          <w:tcPr>
            <w:tcW w:w="887" w:type="dxa"/>
          </w:tcPr>
          <w:p w14:paraId="685AE9B1" w14:textId="77777777" w:rsidR="0042504F" w:rsidRPr="00406187" w:rsidRDefault="0042504F" w:rsidP="0063690F">
            <w:pPr>
              <w:rPr>
                <w:sz w:val="20"/>
                <w:szCs w:val="20"/>
                <w:lang w:val="en-IE"/>
              </w:rPr>
            </w:pPr>
          </w:p>
        </w:tc>
        <w:tc>
          <w:tcPr>
            <w:tcW w:w="989" w:type="dxa"/>
            <w:vAlign w:val="bottom"/>
          </w:tcPr>
          <w:p w14:paraId="02C40F56" w14:textId="77777777" w:rsidR="0042504F" w:rsidRPr="00406187" w:rsidRDefault="0042504F" w:rsidP="0063690F">
            <w:pPr>
              <w:jc w:val="right"/>
              <w:rPr>
                <w:sz w:val="20"/>
                <w:szCs w:val="20"/>
                <w:lang w:val="en-IE"/>
              </w:rPr>
            </w:pPr>
            <w:r w:rsidRPr="00406187">
              <w:rPr>
                <w:sz w:val="20"/>
                <w:szCs w:val="20"/>
                <w:lang w:val="en-IE"/>
              </w:rPr>
              <w:t>1.006</w:t>
            </w:r>
          </w:p>
        </w:tc>
        <w:tc>
          <w:tcPr>
            <w:tcW w:w="887" w:type="dxa"/>
          </w:tcPr>
          <w:p w14:paraId="368CF62A" w14:textId="77777777" w:rsidR="0042504F" w:rsidRPr="00406187" w:rsidRDefault="0042504F" w:rsidP="0063690F">
            <w:pPr>
              <w:rPr>
                <w:sz w:val="20"/>
                <w:szCs w:val="20"/>
                <w:lang w:val="en-IE"/>
              </w:rPr>
            </w:pPr>
          </w:p>
        </w:tc>
      </w:tr>
      <w:tr w:rsidR="00406187" w:rsidRPr="00406187" w14:paraId="5BE1DAFA" w14:textId="77777777" w:rsidTr="00406187">
        <w:tc>
          <w:tcPr>
            <w:tcW w:w="2802" w:type="dxa"/>
            <w:vAlign w:val="bottom"/>
          </w:tcPr>
          <w:p w14:paraId="353C27E2" w14:textId="77777777" w:rsidR="0042504F" w:rsidRPr="00406187" w:rsidRDefault="0042504F" w:rsidP="0063690F">
            <w:pPr>
              <w:rPr>
                <w:sz w:val="20"/>
                <w:szCs w:val="20"/>
                <w:lang w:val="en-IE"/>
              </w:rPr>
            </w:pPr>
            <w:r w:rsidRPr="00406187">
              <w:rPr>
                <w:sz w:val="20"/>
                <w:szCs w:val="20"/>
                <w:lang w:val="en-IE"/>
              </w:rPr>
              <w:t xml:space="preserve">  21-24</w:t>
            </w:r>
          </w:p>
        </w:tc>
        <w:tc>
          <w:tcPr>
            <w:tcW w:w="258" w:type="dxa"/>
          </w:tcPr>
          <w:p w14:paraId="5FD2DF91" w14:textId="77777777" w:rsidR="0042504F" w:rsidRPr="00406187" w:rsidRDefault="0042504F" w:rsidP="0063690F">
            <w:pPr>
              <w:rPr>
                <w:sz w:val="20"/>
                <w:szCs w:val="20"/>
                <w:lang w:val="en-IE"/>
              </w:rPr>
            </w:pPr>
          </w:p>
        </w:tc>
        <w:tc>
          <w:tcPr>
            <w:tcW w:w="888" w:type="dxa"/>
          </w:tcPr>
          <w:p w14:paraId="37D7AF0B" w14:textId="77777777" w:rsidR="0042504F" w:rsidRPr="00406187" w:rsidRDefault="0042504F" w:rsidP="0063690F">
            <w:pPr>
              <w:rPr>
                <w:sz w:val="20"/>
                <w:szCs w:val="20"/>
                <w:lang w:val="en-IE"/>
              </w:rPr>
            </w:pPr>
          </w:p>
        </w:tc>
        <w:tc>
          <w:tcPr>
            <w:tcW w:w="989" w:type="dxa"/>
            <w:vAlign w:val="bottom"/>
          </w:tcPr>
          <w:p w14:paraId="68630C04" w14:textId="77777777" w:rsidR="0042504F" w:rsidRPr="00406187" w:rsidRDefault="0042504F" w:rsidP="0063690F">
            <w:pPr>
              <w:jc w:val="right"/>
              <w:rPr>
                <w:sz w:val="20"/>
                <w:szCs w:val="20"/>
                <w:lang w:val="en-IE"/>
              </w:rPr>
            </w:pPr>
            <w:r w:rsidRPr="00406187">
              <w:rPr>
                <w:sz w:val="20"/>
                <w:szCs w:val="20"/>
                <w:lang w:val="en-IE"/>
              </w:rPr>
              <w:t>1.451</w:t>
            </w:r>
          </w:p>
        </w:tc>
        <w:tc>
          <w:tcPr>
            <w:tcW w:w="887" w:type="dxa"/>
            <w:vAlign w:val="bottom"/>
          </w:tcPr>
          <w:p w14:paraId="3AD0D92F"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7928B0D8" w14:textId="77777777" w:rsidR="0042504F" w:rsidRPr="00406187" w:rsidRDefault="0042504F" w:rsidP="0063690F">
            <w:pPr>
              <w:jc w:val="right"/>
              <w:rPr>
                <w:sz w:val="20"/>
                <w:szCs w:val="20"/>
                <w:lang w:val="en-IE"/>
              </w:rPr>
            </w:pPr>
            <w:r w:rsidRPr="00406187">
              <w:rPr>
                <w:sz w:val="20"/>
                <w:szCs w:val="20"/>
                <w:lang w:val="en-IE"/>
              </w:rPr>
              <w:t>1.210</w:t>
            </w:r>
          </w:p>
        </w:tc>
        <w:tc>
          <w:tcPr>
            <w:tcW w:w="887" w:type="dxa"/>
            <w:vAlign w:val="bottom"/>
          </w:tcPr>
          <w:p w14:paraId="29154754"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305E3AE8" w14:textId="77777777" w:rsidR="0042504F" w:rsidRPr="00406187" w:rsidRDefault="0042504F" w:rsidP="0063690F">
            <w:pPr>
              <w:jc w:val="right"/>
              <w:rPr>
                <w:sz w:val="20"/>
                <w:szCs w:val="20"/>
                <w:lang w:val="en-IE"/>
              </w:rPr>
            </w:pPr>
            <w:r w:rsidRPr="00406187">
              <w:rPr>
                <w:sz w:val="20"/>
                <w:szCs w:val="20"/>
                <w:lang w:val="en-IE"/>
              </w:rPr>
              <w:t>0.983</w:t>
            </w:r>
          </w:p>
        </w:tc>
        <w:tc>
          <w:tcPr>
            <w:tcW w:w="887" w:type="dxa"/>
          </w:tcPr>
          <w:p w14:paraId="2A06A482" w14:textId="77777777" w:rsidR="0042504F" w:rsidRPr="00406187" w:rsidRDefault="0042504F" w:rsidP="0063690F">
            <w:pPr>
              <w:rPr>
                <w:sz w:val="20"/>
                <w:szCs w:val="20"/>
                <w:lang w:val="en-IE"/>
              </w:rPr>
            </w:pPr>
          </w:p>
        </w:tc>
      </w:tr>
      <w:tr w:rsidR="00406187" w:rsidRPr="00406187" w14:paraId="2A979147" w14:textId="77777777" w:rsidTr="00406187">
        <w:tc>
          <w:tcPr>
            <w:tcW w:w="2802" w:type="dxa"/>
            <w:vAlign w:val="bottom"/>
          </w:tcPr>
          <w:p w14:paraId="029A9B2A" w14:textId="77777777" w:rsidR="0042504F" w:rsidRPr="00406187" w:rsidRDefault="0042504F" w:rsidP="0063690F">
            <w:pPr>
              <w:rPr>
                <w:sz w:val="20"/>
                <w:szCs w:val="20"/>
                <w:lang w:val="en-IE"/>
              </w:rPr>
            </w:pPr>
            <w:r w:rsidRPr="00406187">
              <w:rPr>
                <w:sz w:val="20"/>
                <w:szCs w:val="20"/>
                <w:lang w:val="en-IE"/>
              </w:rPr>
              <w:t xml:space="preserve">  25-29</w:t>
            </w:r>
          </w:p>
        </w:tc>
        <w:tc>
          <w:tcPr>
            <w:tcW w:w="258" w:type="dxa"/>
          </w:tcPr>
          <w:p w14:paraId="003F54C8" w14:textId="77777777" w:rsidR="0042504F" w:rsidRPr="00406187" w:rsidRDefault="0042504F" w:rsidP="0063690F">
            <w:pPr>
              <w:rPr>
                <w:sz w:val="20"/>
                <w:szCs w:val="20"/>
                <w:lang w:val="en-IE"/>
              </w:rPr>
            </w:pPr>
          </w:p>
        </w:tc>
        <w:tc>
          <w:tcPr>
            <w:tcW w:w="888" w:type="dxa"/>
          </w:tcPr>
          <w:p w14:paraId="18A42AD1" w14:textId="77777777" w:rsidR="0042504F" w:rsidRPr="00406187" w:rsidRDefault="0042504F" w:rsidP="0063690F">
            <w:pPr>
              <w:rPr>
                <w:sz w:val="20"/>
                <w:szCs w:val="20"/>
                <w:lang w:val="en-IE"/>
              </w:rPr>
            </w:pPr>
          </w:p>
        </w:tc>
        <w:tc>
          <w:tcPr>
            <w:tcW w:w="989" w:type="dxa"/>
            <w:vAlign w:val="bottom"/>
          </w:tcPr>
          <w:p w14:paraId="6D0B5A33" w14:textId="77777777" w:rsidR="0042504F" w:rsidRPr="00406187" w:rsidRDefault="0042504F" w:rsidP="0063690F">
            <w:pPr>
              <w:jc w:val="right"/>
              <w:rPr>
                <w:sz w:val="20"/>
                <w:szCs w:val="20"/>
                <w:lang w:val="en-IE"/>
              </w:rPr>
            </w:pPr>
            <w:r w:rsidRPr="00406187">
              <w:rPr>
                <w:sz w:val="20"/>
                <w:szCs w:val="20"/>
                <w:lang w:val="en-IE"/>
              </w:rPr>
              <w:t>1.153</w:t>
            </w:r>
          </w:p>
        </w:tc>
        <w:tc>
          <w:tcPr>
            <w:tcW w:w="887" w:type="dxa"/>
          </w:tcPr>
          <w:p w14:paraId="67905501" w14:textId="77777777" w:rsidR="0042504F" w:rsidRPr="00406187" w:rsidRDefault="0042504F" w:rsidP="0063690F">
            <w:pPr>
              <w:rPr>
                <w:sz w:val="20"/>
                <w:szCs w:val="20"/>
                <w:lang w:val="en-IE"/>
              </w:rPr>
            </w:pPr>
          </w:p>
        </w:tc>
        <w:tc>
          <w:tcPr>
            <w:tcW w:w="989" w:type="dxa"/>
            <w:vAlign w:val="bottom"/>
          </w:tcPr>
          <w:p w14:paraId="2719F895" w14:textId="77777777" w:rsidR="0042504F" w:rsidRPr="00406187" w:rsidRDefault="0042504F" w:rsidP="0063690F">
            <w:pPr>
              <w:jc w:val="right"/>
              <w:rPr>
                <w:sz w:val="20"/>
                <w:szCs w:val="20"/>
                <w:lang w:val="en-IE"/>
              </w:rPr>
            </w:pPr>
            <w:r w:rsidRPr="00406187">
              <w:rPr>
                <w:sz w:val="20"/>
                <w:szCs w:val="20"/>
                <w:lang w:val="en-IE"/>
              </w:rPr>
              <w:t>1.061</w:t>
            </w:r>
          </w:p>
        </w:tc>
        <w:tc>
          <w:tcPr>
            <w:tcW w:w="887" w:type="dxa"/>
          </w:tcPr>
          <w:p w14:paraId="2A623137" w14:textId="77777777" w:rsidR="0042504F" w:rsidRPr="00406187" w:rsidRDefault="0042504F" w:rsidP="0063690F">
            <w:pPr>
              <w:rPr>
                <w:sz w:val="20"/>
                <w:szCs w:val="20"/>
                <w:lang w:val="en-IE"/>
              </w:rPr>
            </w:pPr>
          </w:p>
        </w:tc>
        <w:tc>
          <w:tcPr>
            <w:tcW w:w="989" w:type="dxa"/>
            <w:vAlign w:val="bottom"/>
          </w:tcPr>
          <w:p w14:paraId="1406D098" w14:textId="77777777" w:rsidR="0042504F" w:rsidRPr="00406187" w:rsidRDefault="0042504F" w:rsidP="0063690F">
            <w:pPr>
              <w:jc w:val="right"/>
              <w:rPr>
                <w:sz w:val="20"/>
                <w:szCs w:val="20"/>
                <w:lang w:val="en-IE"/>
              </w:rPr>
            </w:pPr>
            <w:r w:rsidRPr="00406187">
              <w:rPr>
                <w:sz w:val="20"/>
                <w:szCs w:val="20"/>
                <w:lang w:val="en-IE"/>
              </w:rPr>
              <w:t>0.901</w:t>
            </w:r>
          </w:p>
        </w:tc>
        <w:tc>
          <w:tcPr>
            <w:tcW w:w="887" w:type="dxa"/>
          </w:tcPr>
          <w:p w14:paraId="647D00E1" w14:textId="77777777" w:rsidR="0042504F" w:rsidRPr="00406187" w:rsidRDefault="0042504F" w:rsidP="0063690F">
            <w:pPr>
              <w:rPr>
                <w:sz w:val="20"/>
                <w:szCs w:val="20"/>
                <w:lang w:val="en-IE"/>
              </w:rPr>
            </w:pPr>
          </w:p>
        </w:tc>
      </w:tr>
      <w:tr w:rsidR="00406187" w:rsidRPr="00406187" w14:paraId="220EFBD4" w14:textId="77777777" w:rsidTr="00406187">
        <w:tc>
          <w:tcPr>
            <w:tcW w:w="2802" w:type="dxa"/>
            <w:vAlign w:val="bottom"/>
          </w:tcPr>
          <w:p w14:paraId="13AD2CF5" w14:textId="77777777" w:rsidR="0042504F" w:rsidRPr="00406187" w:rsidRDefault="0042504F" w:rsidP="0063690F">
            <w:pPr>
              <w:rPr>
                <w:sz w:val="20"/>
                <w:szCs w:val="20"/>
                <w:lang w:val="en-IE"/>
              </w:rPr>
            </w:pPr>
            <w:r w:rsidRPr="00406187">
              <w:rPr>
                <w:sz w:val="20"/>
                <w:szCs w:val="20"/>
                <w:lang w:val="en-IE"/>
              </w:rPr>
              <w:t xml:space="preserve">  30 Years +</w:t>
            </w:r>
          </w:p>
        </w:tc>
        <w:tc>
          <w:tcPr>
            <w:tcW w:w="258" w:type="dxa"/>
          </w:tcPr>
          <w:p w14:paraId="75A27683" w14:textId="77777777" w:rsidR="0042504F" w:rsidRPr="00406187" w:rsidRDefault="0042504F" w:rsidP="0063690F">
            <w:pPr>
              <w:rPr>
                <w:sz w:val="20"/>
                <w:szCs w:val="20"/>
                <w:lang w:val="en-IE"/>
              </w:rPr>
            </w:pPr>
          </w:p>
        </w:tc>
        <w:tc>
          <w:tcPr>
            <w:tcW w:w="888" w:type="dxa"/>
          </w:tcPr>
          <w:p w14:paraId="74A972AD" w14:textId="77777777" w:rsidR="0042504F" w:rsidRPr="00406187" w:rsidRDefault="0042504F" w:rsidP="0063690F">
            <w:pPr>
              <w:rPr>
                <w:sz w:val="20"/>
                <w:szCs w:val="20"/>
                <w:lang w:val="en-IE"/>
              </w:rPr>
            </w:pPr>
          </w:p>
        </w:tc>
        <w:tc>
          <w:tcPr>
            <w:tcW w:w="989" w:type="dxa"/>
            <w:vAlign w:val="bottom"/>
          </w:tcPr>
          <w:p w14:paraId="23A1570D" w14:textId="77777777" w:rsidR="0042504F" w:rsidRPr="00406187" w:rsidRDefault="0042504F" w:rsidP="0063690F">
            <w:pPr>
              <w:jc w:val="right"/>
              <w:rPr>
                <w:sz w:val="20"/>
                <w:szCs w:val="20"/>
                <w:lang w:val="en-IE"/>
              </w:rPr>
            </w:pPr>
            <w:r w:rsidRPr="00406187">
              <w:rPr>
                <w:sz w:val="20"/>
                <w:szCs w:val="20"/>
                <w:lang w:val="en-IE"/>
              </w:rPr>
              <w:t>0.968</w:t>
            </w:r>
          </w:p>
        </w:tc>
        <w:tc>
          <w:tcPr>
            <w:tcW w:w="887" w:type="dxa"/>
          </w:tcPr>
          <w:p w14:paraId="7F955F77" w14:textId="77777777" w:rsidR="0042504F" w:rsidRPr="00406187" w:rsidRDefault="0042504F" w:rsidP="0063690F">
            <w:pPr>
              <w:rPr>
                <w:sz w:val="20"/>
                <w:szCs w:val="20"/>
                <w:lang w:val="en-IE"/>
              </w:rPr>
            </w:pPr>
          </w:p>
        </w:tc>
        <w:tc>
          <w:tcPr>
            <w:tcW w:w="989" w:type="dxa"/>
            <w:vAlign w:val="bottom"/>
          </w:tcPr>
          <w:p w14:paraId="207C5EF4" w14:textId="77777777" w:rsidR="0042504F" w:rsidRPr="00406187" w:rsidRDefault="0042504F" w:rsidP="0063690F">
            <w:pPr>
              <w:jc w:val="right"/>
              <w:rPr>
                <w:sz w:val="20"/>
                <w:szCs w:val="20"/>
                <w:lang w:val="en-IE"/>
              </w:rPr>
            </w:pPr>
            <w:r w:rsidRPr="00406187">
              <w:rPr>
                <w:sz w:val="20"/>
                <w:szCs w:val="20"/>
                <w:lang w:val="en-IE"/>
              </w:rPr>
              <w:t>0.890</w:t>
            </w:r>
          </w:p>
        </w:tc>
        <w:tc>
          <w:tcPr>
            <w:tcW w:w="887" w:type="dxa"/>
          </w:tcPr>
          <w:p w14:paraId="5E5380E5" w14:textId="77777777" w:rsidR="0042504F" w:rsidRPr="00406187" w:rsidRDefault="0042504F" w:rsidP="0063690F">
            <w:pPr>
              <w:rPr>
                <w:sz w:val="20"/>
                <w:szCs w:val="20"/>
                <w:lang w:val="en-IE"/>
              </w:rPr>
            </w:pPr>
          </w:p>
        </w:tc>
        <w:tc>
          <w:tcPr>
            <w:tcW w:w="989" w:type="dxa"/>
            <w:vAlign w:val="bottom"/>
          </w:tcPr>
          <w:p w14:paraId="4484AB41" w14:textId="77777777" w:rsidR="0042504F" w:rsidRPr="00406187" w:rsidRDefault="0042504F" w:rsidP="0063690F">
            <w:pPr>
              <w:jc w:val="right"/>
              <w:rPr>
                <w:sz w:val="20"/>
                <w:szCs w:val="20"/>
                <w:lang w:val="en-IE"/>
              </w:rPr>
            </w:pPr>
            <w:r w:rsidRPr="00406187">
              <w:rPr>
                <w:sz w:val="20"/>
                <w:szCs w:val="20"/>
                <w:lang w:val="en-IE"/>
              </w:rPr>
              <w:t>0.768</w:t>
            </w:r>
          </w:p>
        </w:tc>
        <w:tc>
          <w:tcPr>
            <w:tcW w:w="887" w:type="dxa"/>
            <w:vAlign w:val="bottom"/>
          </w:tcPr>
          <w:p w14:paraId="30AAC331"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48150E0D" w14:textId="77777777" w:rsidTr="00406187">
        <w:tc>
          <w:tcPr>
            <w:tcW w:w="2802" w:type="dxa"/>
            <w:vAlign w:val="bottom"/>
          </w:tcPr>
          <w:p w14:paraId="33DFC35E" w14:textId="77777777" w:rsidR="0042504F" w:rsidRPr="00406187" w:rsidRDefault="0042504F" w:rsidP="0063690F">
            <w:pPr>
              <w:rPr>
                <w:sz w:val="20"/>
                <w:szCs w:val="20"/>
                <w:lang w:val="en-IE"/>
              </w:rPr>
            </w:pPr>
            <w:r w:rsidRPr="00406187">
              <w:rPr>
                <w:sz w:val="20"/>
                <w:szCs w:val="20"/>
                <w:lang w:val="en-IE"/>
              </w:rPr>
              <w:t>Deprivation Index group</w:t>
            </w:r>
          </w:p>
        </w:tc>
        <w:tc>
          <w:tcPr>
            <w:tcW w:w="258" w:type="dxa"/>
          </w:tcPr>
          <w:p w14:paraId="2A56AE56" w14:textId="77777777" w:rsidR="0042504F" w:rsidRPr="00406187" w:rsidRDefault="0042504F" w:rsidP="0063690F">
            <w:pPr>
              <w:rPr>
                <w:sz w:val="20"/>
                <w:szCs w:val="20"/>
                <w:lang w:val="en-IE"/>
              </w:rPr>
            </w:pPr>
          </w:p>
        </w:tc>
        <w:tc>
          <w:tcPr>
            <w:tcW w:w="888" w:type="dxa"/>
          </w:tcPr>
          <w:p w14:paraId="5A6AF421" w14:textId="77777777" w:rsidR="0042504F" w:rsidRPr="00406187" w:rsidRDefault="0042504F" w:rsidP="0063690F">
            <w:pPr>
              <w:rPr>
                <w:sz w:val="20"/>
                <w:szCs w:val="20"/>
                <w:lang w:val="en-IE"/>
              </w:rPr>
            </w:pPr>
          </w:p>
        </w:tc>
        <w:tc>
          <w:tcPr>
            <w:tcW w:w="989" w:type="dxa"/>
          </w:tcPr>
          <w:p w14:paraId="54247C7D" w14:textId="77777777" w:rsidR="0042504F" w:rsidRPr="00406187" w:rsidRDefault="0042504F" w:rsidP="0063690F">
            <w:pPr>
              <w:rPr>
                <w:sz w:val="20"/>
                <w:szCs w:val="20"/>
                <w:lang w:val="en-IE"/>
              </w:rPr>
            </w:pPr>
          </w:p>
        </w:tc>
        <w:tc>
          <w:tcPr>
            <w:tcW w:w="887" w:type="dxa"/>
          </w:tcPr>
          <w:p w14:paraId="16C8B3D6" w14:textId="77777777" w:rsidR="0042504F" w:rsidRPr="00406187" w:rsidRDefault="0042504F" w:rsidP="0063690F">
            <w:pPr>
              <w:rPr>
                <w:sz w:val="20"/>
                <w:szCs w:val="20"/>
                <w:lang w:val="en-IE"/>
              </w:rPr>
            </w:pPr>
          </w:p>
        </w:tc>
        <w:tc>
          <w:tcPr>
            <w:tcW w:w="989" w:type="dxa"/>
          </w:tcPr>
          <w:p w14:paraId="2CA7C5DA" w14:textId="77777777" w:rsidR="0042504F" w:rsidRPr="00406187" w:rsidRDefault="0042504F" w:rsidP="0063690F">
            <w:pPr>
              <w:rPr>
                <w:sz w:val="20"/>
                <w:szCs w:val="20"/>
                <w:lang w:val="en-IE"/>
              </w:rPr>
            </w:pPr>
          </w:p>
        </w:tc>
        <w:tc>
          <w:tcPr>
            <w:tcW w:w="887" w:type="dxa"/>
          </w:tcPr>
          <w:p w14:paraId="3B5DFD02" w14:textId="77777777" w:rsidR="0042504F" w:rsidRPr="00406187" w:rsidRDefault="0042504F" w:rsidP="0063690F">
            <w:pPr>
              <w:rPr>
                <w:sz w:val="20"/>
                <w:szCs w:val="20"/>
                <w:lang w:val="en-IE"/>
              </w:rPr>
            </w:pPr>
          </w:p>
        </w:tc>
        <w:tc>
          <w:tcPr>
            <w:tcW w:w="989" w:type="dxa"/>
          </w:tcPr>
          <w:p w14:paraId="1FC01423" w14:textId="77777777" w:rsidR="0042504F" w:rsidRPr="00406187" w:rsidRDefault="0042504F" w:rsidP="0063690F">
            <w:pPr>
              <w:rPr>
                <w:sz w:val="20"/>
                <w:szCs w:val="20"/>
                <w:lang w:val="en-IE"/>
              </w:rPr>
            </w:pPr>
          </w:p>
        </w:tc>
        <w:tc>
          <w:tcPr>
            <w:tcW w:w="887" w:type="dxa"/>
          </w:tcPr>
          <w:p w14:paraId="26D15776" w14:textId="77777777" w:rsidR="0042504F" w:rsidRPr="00406187" w:rsidRDefault="0042504F" w:rsidP="0063690F">
            <w:pPr>
              <w:rPr>
                <w:sz w:val="20"/>
                <w:szCs w:val="20"/>
                <w:lang w:val="en-IE"/>
              </w:rPr>
            </w:pPr>
          </w:p>
        </w:tc>
      </w:tr>
      <w:tr w:rsidR="00406187" w:rsidRPr="00406187" w14:paraId="6480CA30" w14:textId="77777777" w:rsidTr="00406187">
        <w:tc>
          <w:tcPr>
            <w:tcW w:w="2802" w:type="dxa"/>
            <w:vAlign w:val="bottom"/>
          </w:tcPr>
          <w:p w14:paraId="6AC8EDCC" w14:textId="77777777" w:rsidR="0042504F" w:rsidRPr="00406187" w:rsidRDefault="0042504F" w:rsidP="0063690F">
            <w:pPr>
              <w:rPr>
                <w:sz w:val="20"/>
                <w:szCs w:val="20"/>
                <w:lang w:val="en-IE"/>
              </w:rPr>
            </w:pPr>
            <w:r w:rsidRPr="00406187">
              <w:rPr>
                <w:sz w:val="20"/>
                <w:szCs w:val="20"/>
                <w:lang w:val="en-IE"/>
              </w:rPr>
              <w:t xml:space="preserve">  High deprivation</w:t>
            </w:r>
          </w:p>
        </w:tc>
        <w:tc>
          <w:tcPr>
            <w:tcW w:w="258" w:type="dxa"/>
          </w:tcPr>
          <w:p w14:paraId="3957AC96" w14:textId="77777777" w:rsidR="0042504F" w:rsidRPr="00406187" w:rsidRDefault="0042504F" w:rsidP="0063690F">
            <w:pPr>
              <w:rPr>
                <w:sz w:val="20"/>
                <w:szCs w:val="20"/>
                <w:lang w:val="en-IE"/>
              </w:rPr>
            </w:pPr>
          </w:p>
        </w:tc>
        <w:tc>
          <w:tcPr>
            <w:tcW w:w="888" w:type="dxa"/>
          </w:tcPr>
          <w:p w14:paraId="7384CB88" w14:textId="77777777" w:rsidR="0042504F" w:rsidRPr="00406187" w:rsidRDefault="0042504F" w:rsidP="0063690F">
            <w:pPr>
              <w:rPr>
                <w:sz w:val="20"/>
                <w:szCs w:val="20"/>
                <w:lang w:val="en-IE"/>
              </w:rPr>
            </w:pPr>
          </w:p>
        </w:tc>
        <w:tc>
          <w:tcPr>
            <w:tcW w:w="989" w:type="dxa"/>
            <w:vAlign w:val="bottom"/>
          </w:tcPr>
          <w:p w14:paraId="488126D4" w14:textId="77777777" w:rsidR="0042504F" w:rsidRPr="00406187" w:rsidRDefault="0042504F" w:rsidP="0063690F">
            <w:pPr>
              <w:jc w:val="right"/>
              <w:rPr>
                <w:sz w:val="20"/>
                <w:szCs w:val="20"/>
                <w:lang w:val="en-IE"/>
              </w:rPr>
            </w:pPr>
            <w:r w:rsidRPr="00406187">
              <w:rPr>
                <w:sz w:val="20"/>
                <w:szCs w:val="20"/>
                <w:lang w:val="en-IE"/>
              </w:rPr>
              <w:t>2.132</w:t>
            </w:r>
          </w:p>
        </w:tc>
        <w:tc>
          <w:tcPr>
            <w:tcW w:w="887" w:type="dxa"/>
            <w:vAlign w:val="bottom"/>
          </w:tcPr>
          <w:p w14:paraId="1DBB67C3"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39886806" w14:textId="77777777" w:rsidR="0042504F" w:rsidRPr="00406187" w:rsidRDefault="0042504F" w:rsidP="0063690F">
            <w:pPr>
              <w:jc w:val="right"/>
              <w:rPr>
                <w:sz w:val="20"/>
                <w:szCs w:val="20"/>
                <w:lang w:val="en-IE"/>
              </w:rPr>
            </w:pPr>
            <w:r w:rsidRPr="00406187">
              <w:rPr>
                <w:sz w:val="20"/>
                <w:szCs w:val="20"/>
                <w:lang w:val="en-IE"/>
              </w:rPr>
              <w:t>1.843</w:t>
            </w:r>
          </w:p>
        </w:tc>
        <w:tc>
          <w:tcPr>
            <w:tcW w:w="887" w:type="dxa"/>
            <w:vAlign w:val="bottom"/>
          </w:tcPr>
          <w:p w14:paraId="410B9342"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741D2616" w14:textId="77777777" w:rsidR="0042504F" w:rsidRPr="00406187" w:rsidRDefault="0042504F" w:rsidP="0063690F">
            <w:pPr>
              <w:jc w:val="right"/>
              <w:rPr>
                <w:sz w:val="20"/>
                <w:szCs w:val="20"/>
                <w:lang w:val="en-IE"/>
              </w:rPr>
            </w:pPr>
            <w:r w:rsidRPr="00406187">
              <w:rPr>
                <w:sz w:val="20"/>
                <w:szCs w:val="20"/>
                <w:lang w:val="en-IE"/>
              </w:rPr>
              <w:t>1.479</w:t>
            </w:r>
          </w:p>
        </w:tc>
        <w:tc>
          <w:tcPr>
            <w:tcW w:w="887" w:type="dxa"/>
            <w:vAlign w:val="bottom"/>
          </w:tcPr>
          <w:p w14:paraId="1D4B1567"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2F373748" w14:textId="77777777" w:rsidTr="00406187">
        <w:tc>
          <w:tcPr>
            <w:tcW w:w="2802" w:type="dxa"/>
            <w:vAlign w:val="bottom"/>
          </w:tcPr>
          <w:p w14:paraId="3BD96F00" w14:textId="77777777" w:rsidR="0042504F" w:rsidRPr="00406187" w:rsidRDefault="0042504F" w:rsidP="0063690F">
            <w:pPr>
              <w:rPr>
                <w:sz w:val="20"/>
                <w:szCs w:val="20"/>
                <w:lang w:val="en-IE"/>
              </w:rPr>
            </w:pPr>
            <w:r w:rsidRPr="00406187">
              <w:rPr>
                <w:sz w:val="20"/>
                <w:szCs w:val="20"/>
                <w:lang w:val="en-IE"/>
              </w:rPr>
              <w:t xml:space="preserve">  Deprived</w:t>
            </w:r>
          </w:p>
        </w:tc>
        <w:tc>
          <w:tcPr>
            <w:tcW w:w="258" w:type="dxa"/>
          </w:tcPr>
          <w:p w14:paraId="1F842B7E" w14:textId="77777777" w:rsidR="0042504F" w:rsidRPr="00406187" w:rsidRDefault="0042504F" w:rsidP="0063690F">
            <w:pPr>
              <w:rPr>
                <w:sz w:val="20"/>
                <w:szCs w:val="20"/>
                <w:lang w:val="en-IE"/>
              </w:rPr>
            </w:pPr>
          </w:p>
        </w:tc>
        <w:tc>
          <w:tcPr>
            <w:tcW w:w="888" w:type="dxa"/>
          </w:tcPr>
          <w:p w14:paraId="2C85481B" w14:textId="77777777" w:rsidR="0042504F" w:rsidRPr="00406187" w:rsidRDefault="0042504F" w:rsidP="0063690F">
            <w:pPr>
              <w:rPr>
                <w:sz w:val="20"/>
                <w:szCs w:val="20"/>
                <w:lang w:val="en-IE"/>
              </w:rPr>
            </w:pPr>
          </w:p>
        </w:tc>
        <w:tc>
          <w:tcPr>
            <w:tcW w:w="989" w:type="dxa"/>
            <w:vAlign w:val="bottom"/>
          </w:tcPr>
          <w:p w14:paraId="102C0AA7" w14:textId="77777777" w:rsidR="0042504F" w:rsidRPr="00406187" w:rsidRDefault="0042504F" w:rsidP="0063690F">
            <w:pPr>
              <w:jc w:val="right"/>
              <w:rPr>
                <w:sz w:val="20"/>
                <w:szCs w:val="20"/>
                <w:lang w:val="en-IE"/>
              </w:rPr>
            </w:pPr>
            <w:r w:rsidRPr="00406187">
              <w:rPr>
                <w:sz w:val="20"/>
                <w:szCs w:val="20"/>
                <w:lang w:val="en-IE"/>
              </w:rPr>
              <w:t>1.762</w:t>
            </w:r>
          </w:p>
        </w:tc>
        <w:tc>
          <w:tcPr>
            <w:tcW w:w="887" w:type="dxa"/>
            <w:vAlign w:val="bottom"/>
          </w:tcPr>
          <w:p w14:paraId="04A17027"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40584695" w14:textId="77777777" w:rsidR="0042504F" w:rsidRPr="00406187" w:rsidRDefault="0042504F" w:rsidP="0063690F">
            <w:pPr>
              <w:jc w:val="right"/>
              <w:rPr>
                <w:sz w:val="20"/>
                <w:szCs w:val="20"/>
                <w:lang w:val="en-IE"/>
              </w:rPr>
            </w:pPr>
            <w:r w:rsidRPr="00406187">
              <w:rPr>
                <w:sz w:val="20"/>
                <w:szCs w:val="20"/>
                <w:lang w:val="en-IE"/>
              </w:rPr>
              <w:t>1.548</w:t>
            </w:r>
          </w:p>
        </w:tc>
        <w:tc>
          <w:tcPr>
            <w:tcW w:w="887" w:type="dxa"/>
            <w:vAlign w:val="bottom"/>
          </w:tcPr>
          <w:p w14:paraId="1598A7BC"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1C679677" w14:textId="77777777" w:rsidR="0042504F" w:rsidRPr="00406187" w:rsidRDefault="0042504F" w:rsidP="0063690F">
            <w:pPr>
              <w:jc w:val="right"/>
              <w:rPr>
                <w:sz w:val="20"/>
                <w:szCs w:val="20"/>
                <w:lang w:val="en-IE"/>
              </w:rPr>
            </w:pPr>
            <w:r w:rsidRPr="00406187">
              <w:rPr>
                <w:sz w:val="20"/>
                <w:szCs w:val="20"/>
                <w:lang w:val="en-IE"/>
              </w:rPr>
              <w:t>1.298</w:t>
            </w:r>
          </w:p>
        </w:tc>
        <w:tc>
          <w:tcPr>
            <w:tcW w:w="887" w:type="dxa"/>
            <w:vAlign w:val="bottom"/>
          </w:tcPr>
          <w:p w14:paraId="4D040B6D"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213531CB" w14:textId="77777777" w:rsidTr="00406187">
        <w:tc>
          <w:tcPr>
            <w:tcW w:w="2802" w:type="dxa"/>
            <w:vAlign w:val="bottom"/>
          </w:tcPr>
          <w:p w14:paraId="74508119" w14:textId="77777777" w:rsidR="0042504F" w:rsidRPr="00406187" w:rsidRDefault="0042504F" w:rsidP="0063690F">
            <w:pPr>
              <w:rPr>
                <w:sz w:val="20"/>
                <w:szCs w:val="20"/>
                <w:lang w:val="en-IE"/>
              </w:rPr>
            </w:pPr>
            <w:r w:rsidRPr="00406187">
              <w:rPr>
                <w:sz w:val="20"/>
                <w:szCs w:val="20"/>
                <w:lang w:val="en-IE"/>
              </w:rPr>
              <w:t xml:space="preserve">  Marg. below </w:t>
            </w:r>
            <w:proofErr w:type="spellStart"/>
            <w:r w:rsidRPr="00406187">
              <w:rPr>
                <w:sz w:val="20"/>
                <w:szCs w:val="20"/>
                <w:lang w:val="en-IE"/>
              </w:rPr>
              <w:t>avg</w:t>
            </w:r>
            <w:proofErr w:type="spellEnd"/>
          </w:p>
        </w:tc>
        <w:tc>
          <w:tcPr>
            <w:tcW w:w="258" w:type="dxa"/>
          </w:tcPr>
          <w:p w14:paraId="4F7581E9" w14:textId="77777777" w:rsidR="0042504F" w:rsidRPr="00406187" w:rsidRDefault="0042504F" w:rsidP="0063690F">
            <w:pPr>
              <w:rPr>
                <w:sz w:val="20"/>
                <w:szCs w:val="20"/>
                <w:lang w:val="en-IE"/>
              </w:rPr>
            </w:pPr>
          </w:p>
        </w:tc>
        <w:tc>
          <w:tcPr>
            <w:tcW w:w="888" w:type="dxa"/>
          </w:tcPr>
          <w:p w14:paraId="6A059BC9" w14:textId="77777777" w:rsidR="0042504F" w:rsidRPr="00406187" w:rsidRDefault="0042504F" w:rsidP="0063690F">
            <w:pPr>
              <w:rPr>
                <w:sz w:val="20"/>
                <w:szCs w:val="20"/>
                <w:lang w:val="en-IE"/>
              </w:rPr>
            </w:pPr>
          </w:p>
        </w:tc>
        <w:tc>
          <w:tcPr>
            <w:tcW w:w="989" w:type="dxa"/>
            <w:vAlign w:val="bottom"/>
          </w:tcPr>
          <w:p w14:paraId="74366D8B" w14:textId="77777777" w:rsidR="0042504F" w:rsidRPr="00406187" w:rsidRDefault="0042504F" w:rsidP="0063690F">
            <w:pPr>
              <w:jc w:val="right"/>
              <w:rPr>
                <w:sz w:val="20"/>
                <w:szCs w:val="20"/>
                <w:lang w:val="en-IE"/>
              </w:rPr>
            </w:pPr>
            <w:r w:rsidRPr="00406187">
              <w:rPr>
                <w:sz w:val="20"/>
                <w:szCs w:val="20"/>
                <w:lang w:val="en-IE"/>
              </w:rPr>
              <w:t>1.369</w:t>
            </w:r>
          </w:p>
        </w:tc>
        <w:tc>
          <w:tcPr>
            <w:tcW w:w="887" w:type="dxa"/>
            <w:vAlign w:val="bottom"/>
          </w:tcPr>
          <w:p w14:paraId="6715738A"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3CFE73B0" w14:textId="77777777" w:rsidR="0042504F" w:rsidRPr="00406187" w:rsidRDefault="0042504F" w:rsidP="0063690F">
            <w:pPr>
              <w:jc w:val="right"/>
              <w:rPr>
                <w:sz w:val="20"/>
                <w:szCs w:val="20"/>
                <w:lang w:val="en-IE"/>
              </w:rPr>
            </w:pPr>
            <w:r w:rsidRPr="00406187">
              <w:rPr>
                <w:sz w:val="20"/>
                <w:szCs w:val="20"/>
                <w:lang w:val="en-IE"/>
              </w:rPr>
              <w:t>1.235</w:t>
            </w:r>
          </w:p>
        </w:tc>
        <w:tc>
          <w:tcPr>
            <w:tcW w:w="887" w:type="dxa"/>
            <w:vAlign w:val="bottom"/>
          </w:tcPr>
          <w:p w14:paraId="08A8F8C3"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555C11CD" w14:textId="77777777" w:rsidR="0042504F" w:rsidRPr="00406187" w:rsidRDefault="0042504F" w:rsidP="0063690F">
            <w:pPr>
              <w:jc w:val="right"/>
              <w:rPr>
                <w:sz w:val="20"/>
                <w:szCs w:val="20"/>
                <w:lang w:val="en-IE"/>
              </w:rPr>
            </w:pPr>
            <w:r w:rsidRPr="00406187">
              <w:rPr>
                <w:sz w:val="20"/>
                <w:szCs w:val="20"/>
                <w:lang w:val="en-IE"/>
              </w:rPr>
              <w:t>1.102</w:t>
            </w:r>
          </w:p>
        </w:tc>
        <w:tc>
          <w:tcPr>
            <w:tcW w:w="887" w:type="dxa"/>
          </w:tcPr>
          <w:p w14:paraId="4823D1D2" w14:textId="77777777" w:rsidR="0042504F" w:rsidRPr="00406187" w:rsidRDefault="0042504F" w:rsidP="0063690F">
            <w:pPr>
              <w:rPr>
                <w:sz w:val="20"/>
                <w:szCs w:val="20"/>
                <w:lang w:val="en-IE"/>
              </w:rPr>
            </w:pPr>
          </w:p>
        </w:tc>
      </w:tr>
      <w:tr w:rsidR="00406187" w:rsidRPr="00406187" w14:paraId="574A9F47" w14:textId="77777777" w:rsidTr="00406187">
        <w:tc>
          <w:tcPr>
            <w:tcW w:w="2802" w:type="dxa"/>
            <w:vAlign w:val="bottom"/>
          </w:tcPr>
          <w:p w14:paraId="10C3FDAF" w14:textId="77777777" w:rsidR="0042504F" w:rsidRPr="00406187" w:rsidRDefault="0042504F" w:rsidP="0063690F">
            <w:pPr>
              <w:rPr>
                <w:sz w:val="20"/>
                <w:szCs w:val="20"/>
                <w:lang w:val="en-IE"/>
              </w:rPr>
            </w:pPr>
            <w:r w:rsidRPr="00406187">
              <w:rPr>
                <w:sz w:val="20"/>
                <w:szCs w:val="20"/>
                <w:lang w:val="en-IE"/>
              </w:rPr>
              <w:t xml:space="preserve">  Marg. above </w:t>
            </w:r>
            <w:proofErr w:type="spellStart"/>
            <w:r w:rsidRPr="00406187">
              <w:rPr>
                <w:sz w:val="20"/>
                <w:szCs w:val="20"/>
                <w:lang w:val="en-IE"/>
              </w:rPr>
              <w:t>avg</w:t>
            </w:r>
            <w:proofErr w:type="spellEnd"/>
          </w:p>
        </w:tc>
        <w:tc>
          <w:tcPr>
            <w:tcW w:w="258" w:type="dxa"/>
          </w:tcPr>
          <w:p w14:paraId="49E7DA3F" w14:textId="77777777" w:rsidR="0042504F" w:rsidRPr="00406187" w:rsidRDefault="0042504F" w:rsidP="0063690F">
            <w:pPr>
              <w:rPr>
                <w:sz w:val="20"/>
                <w:szCs w:val="20"/>
                <w:lang w:val="en-IE"/>
              </w:rPr>
            </w:pPr>
          </w:p>
        </w:tc>
        <w:tc>
          <w:tcPr>
            <w:tcW w:w="888" w:type="dxa"/>
          </w:tcPr>
          <w:p w14:paraId="5EAC7B27" w14:textId="77777777" w:rsidR="0042504F" w:rsidRPr="00406187" w:rsidRDefault="0042504F" w:rsidP="0063690F">
            <w:pPr>
              <w:rPr>
                <w:sz w:val="20"/>
                <w:szCs w:val="20"/>
                <w:lang w:val="en-IE"/>
              </w:rPr>
            </w:pPr>
          </w:p>
        </w:tc>
        <w:tc>
          <w:tcPr>
            <w:tcW w:w="989" w:type="dxa"/>
            <w:vAlign w:val="bottom"/>
          </w:tcPr>
          <w:p w14:paraId="19FD5FF6" w14:textId="77777777" w:rsidR="0042504F" w:rsidRPr="00406187" w:rsidRDefault="0042504F" w:rsidP="0063690F">
            <w:pPr>
              <w:jc w:val="right"/>
              <w:rPr>
                <w:sz w:val="20"/>
                <w:szCs w:val="20"/>
                <w:lang w:val="en-IE"/>
              </w:rPr>
            </w:pPr>
            <w:r w:rsidRPr="00406187">
              <w:rPr>
                <w:sz w:val="20"/>
                <w:szCs w:val="20"/>
                <w:lang w:val="en-IE"/>
              </w:rPr>
              <w:t>1.207</w:t>
            </w:r>
          </w:p>
        </w:tc>
        <w:tc>
          <w:tcPr>
            <w:tcW w:w="887" w:type="dxa"/>
            <w:vAlign w:val="bottom"/>
          </w:tcPr>
          <w:p w14:paraId="28571D36"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310866FA" w14:textId="77777777" w:rsidR="0042504F" w:rsidRPr="00406187" w:rsidRDefault="0042504F" w:rsidP="0063690F">
            <w:pPr>
              <w:jc w:val="right"/>
              <w:rPr>
                <w:sz w:val="20"/>
                <w:szCs w:val="20"/>
                <w:lang w:val="en-IE"/>
              </w:rPr>
            </w:pPr>
            <w:r w:rsidRPr="00406187">
              <w:rPr>
                <w:sz w:val="20"/>
                <w:szCs w:val="20"/>
                <w:lang w:val="en-IE"/>
              </w:rPr>
              <w:t>1.138</w:t>
            </w:r>
          </w:p>
        </w:tc>
        <w:tc>
          <w:tcPr>
            <w:tcW w:w="887" w:type="dxa"/>
            <w:vAlign w:val="bottom"/>
          </w:tcPr>
          <w:p w14:paraId="2A634DCD"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3EAC882A" w14:textId="77777777" w:rsidR="0042504F" w:rsidRPr="00406187" w:rsidRDefault="0042504F" w:rsidP="0063690F">
            <w:pPr>
              <w:jc w:val="right"/>
              <w:rPr>
                <w:sz w:val="20"/>
                <w:szCs w:val="20"/>
                <w:lang w:val="en-IE"/>
              </w:rPr>
            </w:pPr>
            <w:r w:rsidRPr="00406187">
              <w:rPr>
                <w:sz w:val="20"/>
                <w:szCs w:val="20"/>
                <w:lang w:val="en-IE"/>
              </w:rPr>
              <w:t>1.077</w:t>
            </w:r>
          </w:p>
        </w:tc>
        <w:tc>
          <w:tcPr>
            <w:tcW w:w="887" w:type="dxa"/>
          </w:tcPr>
          <w:p w14:paraId="7BF0932A" w14:textId="77777777" w:rsidR="0042504F" w:rsidRPr="00406187" w:rsidRDefault="0042504F" w:rsidP="0063690F">
            <w:pPr>
              <w:rPr>
                <w:sz w:val="20"/>
                <w:szCs w:val="20"/>
                <w:lang w:val="en-IE"/>
              </w:rPr>
            </w:pPr>
          </w:p>
        </w:tc>
      </w:tr>
      <w:tr w:rsidR="00406187" w:rsidRPr="00406187" w14:paraId="5C2C71B5" w14:textId="77777777" w:rsidTr="00406187">
        <w:tc>
          <w:tcPr>
            <w:tcW w:w="2802" w:type="dxa"/>
            <w:vAlign w:val="bottom"/>
          </w:tcPr>
          <w:p w14:paraId="64CD4BB8" w14:textId="77777777" w:rsidR="0042504F" w:rsidRPr="00406187" w:rsidRDefault="0042504F" w:rsidP="0063690F">
            <w:pPr>
              <w:rPr>
                <w:sz w:val="20"/>
                <w:szCs w:val="20"/>
                <w:lang w:val="en-IE"/>
              </w:rPr>
            </w:pPr>
            <w:r w:rsidRPr="00406187">
              <w:rPr>
                <w:sz w:val="20"/>
                <w:szCs w:val="20"/>
                <w:lang w:val="en-IE"/>
              </w:rPr>
              <w:t xml:space="preserve">  High affluence</w:t>
            </w:r>
          </w:p>
        </w:tc>
        <w:tc>
          <w:tcPr>
            <w:tcW w:w="258" w:type="dxa"/>
          </w:tcPr>
          <w:p w14:paraId="32DEC562" w14:textId="77777777" w:rsidR="0042504F" w:rsidRPr="00406187" w:rsidRDefault="0042504F" w:rsidP="0063690F">
            <w:pPr>
              <w:rPr>
                <w:sz w:val="20"/>
                <w:szCs w:val="20"/>
                <w:lang w:val="en-IE"/>
              </w:rPr>
            </w:pPr>
          </w:p>
        </w:tc>
        <w:tc>
          <w:tcPr>
            <w:tcW w:w="888" w:type="dxa"/>
          </w:tcPr>
          <w:p w14:paraId="27471DE4" w14:textId="77777777" w:rsidR="0042504F" w:rsidRPr="00406187" w:rsidRDefault="0042504F" w:rsidP="0063690F">
            <w:pPr>
              <w:rPr>
                <w:sz w:val="20"/>
                <w:szCs w:val="20"/>
                <w:lang w:val="en-IE"/>
              </w:rPr>
            </w:pPr>
          </w:p>
        </w:tc>
        <w:tc>
          <w:tcPr>
            <w:tcW w:w="989" w:type="dxa"/>
            <w:vAlign w:val="bottom"/>
          </w:tcPr>
          <w:p w14:paraId="6E526CC5" w14:textId="77777777" w:rsidR="0042504F" w:rsidRPr="00406187" w:rsidRDefault="0042504F" w:rsidP="0063690F">
            <w:pPr>
              <w:jc w:val="right"/>
              <w:rPr>
                <w:sz w:val="20"/>
                <w:szCs w:val="20"/>
                <w:lang w:val="en-IE"/>
              </w:rPr>
            </w:pPr>
            <w:r w:rsidRPr="00406187">
              <w:rPr>
                <w:sz w:val="20"/>
                <w:szCs w:val="20"/>
                <w:lang w:val="en-IE"/>
              </w:rPr>
              <w:t>0.904</w:t>
            </w:r>
          </w:p>
        </w:tc>
        <w:tc>
          <w:tcPr>
            <w:tcW w:w="887" w:type="dxa"/>
          </w:tcPr>
          <w:p w14:paraId="6B23C391" w14:textId="77777777" w:rsidR="0042504F" w:rsidRPr="00406187" w:rsidRDefault="0042504F" w:rsidP="0063690F">
            <w:pPr>
              <w:rPr>
                <w:sz w:val="20"/>
                <w:szCs w:val="20"/>
                <w:lang w:val="en-IE"/>
              </w:rPr>
            </w:pPr>
          </w:p>
        </w:tc>
        <w:tc>
          <w:tcPr>
            <w:tcW w:w="989" w:type="dxa"/>
            <w:vAlign w:val="bottom"/>
          </w:tcPr>
          <w:p w14:paraId="56127135" w14:textId="77777777" w:rsidR="0042504F" w:rsidRPr="00406187" w:rsidRDefault="0042504F" w:rsidP="0063690F">
            <w:pPr>
              <w:jc w:val="right"/>
              <w:rPr>
                <w:sz w:val="20"/>
                <w:szCs w:val="20"/>
                <w:lang w:val="en-IE"/>
              </w:rPr>
            </w:pPr>
            <w:r w:rsidRPr="00406187">
              <w:rPr>
                <w:sz w:val="20"/>
                <w:szCs w:val="20"/>
                <w:lang w:val="en-IE"/>
              </w:rPr>
              <w:t>0.869</w:t>
            </w:r>
          </w:p>
        </w:tc>
        <w:tc>
          <w:tcPr>
            <w:tcW w:w="887" w:type="dxa"/>
          </w:tcPr>
          <w:p w14:paraId="1C8DEEE0" w14:textId="77777777" w:rsidR="0042504F" w:rsidRPr="00406187" w:rsidRDefault="0042504F" w:rsidP="0063690F">
            <w:pPr>
              <w:rPr>
                <w:sz w:val="20"/>
                <w:szCs w:val="20"/>
                <w:lang w:val="en-IE"/>
              </w:rPr>
            </w:pPr>
          </w:p>
        </w:tc>
        <w:tc>
          <w:tcPr>
            <w:tcW w:w="989" w:type="dxa"/>
            <w:vAlign w:val="bottom"/>
          </w:tcPr>
          <w:p w14:paraId="0C11BB14" w14:textId="77777777" w:rsidR="0042504F" w:rsidRPr="00406187" w:rsidRDefault="0042504F" w:rsidP="0063690F">
            <w:pPr>
              <w:jc w:val="right"/>
              <w:rPr>
                <w:sz w:val="20"/>
                <w:szCs w:val="20"/>
                <w:lang w:val="en-IE"/>
              </w:rPr>
            </w:pPr>
            <w:r w:rsidRPr="00406187">
              <w:rPr>
                <w:sz w:val="20"/>
                <w:szCs w:val="20"/>
                <w:lang w:val="en-IE"/>
              </w:rPr>
              <w:t>0.789</w:t>
            </w:r>
          </w:p>
        </w:tc>
        <w:tc>
          <w:tcPr>
            <w:tcW w:w="887" w:type="dxa"/>
          </w:tcPr>
          <w:p w14:paraId="1F42AE7B" w14:textId="77777777" w:rsidR="0042504F" w:rsidRPr="00406187" w:rsidRDefault="0042504F" w:rsidP="0063690F">
            <w:pPr>
              <w:rPr>
                <w:sz w:val="20"/>
                <w:szCs w:val="20"/>
                <w:lang w:val="en-IE"/>
              </w:rPr>
            </w:pPr>
          </w:p>
        </w:tc>
      </w:tr>
      <w:tr w:rsidR="00406187" w:rsidRPr="00406187" w14:paraId="27E0C51E" w14:textId="77777777" w:rsidTr="00406187">
        <w:tc>
          <w:tcPr>
            <w:tcW w:w="2802" w:type="dxa"/>
            <w:vAlign w:val="bottom"/>
          </w:tcPr>
          <w:p w14:paraId="30132278" w14:textId="77777777" w:rsidR="0042504F" w:rsidRPr="00406187" w:rsidRDefault="0042504F" w:rsidP="0063690F">
            <w:pPr>
              <w:rPr>
                <w:sz w:val="20"/>
                <w:szCs w:val="20"/>
                <w:lang w:val="en-IE"/>
              </w:rPr>
            </w:pPr>
            <w:r w:rsidRPr="00406187">
              <w:rPr>
                <w:sz w:val="20"/>
                <w:szCs w:val="20"/>
                <w:lang w:val="en-IE"/>
              </w:rPr>
              <w:t xml:space="preserve">  No DIS information</w:t>
            </w:r>
          </w:p>
        </w:tc>
        <w:tc>
          <w:tcPr>
            <w:tcW w:w="258" w:type="dxa"/>
          </w:tcPr>
          <w:p w14:paraId="691E16C7" w14:textId="77777777" w:rsidR="0042504F" w:rsidRPr="00406187" w:rsidRDefault="0042504F" w:rsidP="0063690F">
            <w:pPr>
              <w:rPr>
                <w:sz w:val="20"/>
                <w:szCs w:val="20"/>
                <w:lang w:val="en-IE"/>
              </w:rPr>
            </w:pPr>
          </w:p>
        </w:tc>
        <w:tc>
          <w:tcPr>
            <w:tcW w:w="888" w:type="dxa"/>
          </w:tcPr>
          <w:p w14:paraId="425CD18B" w14:textId="77777777" w:rsidR="0042504F" w:rsidRPr="00406187" w:rsidRDefault="0042504F" w:rsidP="0063690F">
            <w:pPr>
              <w:rPr>
                <w:sz w:val="20"/>
                <w:szCs w:val="20"/>
                <w:lang w:val="en-IE"/>
              </w:rPr>
            </w:pPr>
          </w:p>
        </w:tc>
        <w:tc>
          <w:tcPr>
            <w:tcW w:w="989" w:type="dxa"/>
            <w:vAlign w:val="bottom"/>
          </w:tcPr>
          <w:p w14:paraId="7DDFA7FF" w14:textId="77777777" w:rsidR="0042504F" w:rsidRPr="00406187" w:rsidRDefault="0042504F" w:rsidP="0063690F">
            <w:pPr>
              <w:jc w:val="right"/>
              <w:rPr>
                <w:sz w:val="20"/>
                <w:szCs w:val="20"/>
                <w:lang w:val="en-IE"/>
              </w:rPr>
            </w:pPr>
            <w:r w:rsidRPr="00406187">
              <w:rPr>
                <w:sz w:val="20"/>
                <w:szCs w:val="20"/>
                <w:lang w:val="en-IE"/>
              </w:rPr>
              <w:t>1.282</w:t>
            </w:r>
          </w:p>
        </w:tc>
        <w:tc>
          <w:tcPr>
            <w:tcW w:w="887" w:type="dxa"/>
            <w:vAlign w:val="bottom"/>
          </w:tcPr>
          <w:p w14:paraId="083CCE10"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1FB9E8FF" w14:textId="77777777" w:rsidR="0042504F" w:rsidRPr="00406187" w:rsidRDefault="0042504F" w:rsidP="0063690F">
            <w:pPr>
              <w:jc w:val="right"/>
              <w:rPr>
                <w:sz w:val="20"/>
                <w:szCs w:val="20"/>
                <w:lang w:val="en-IE"/>
              </w:rPr>
            </w:pPr>
            <w:r w:rsidRPr="00406187">
              <w:rPr>
                <w:sz w:val="20"/>
                <w:szCs w:val="20"/>
                <w:lang w:val="en-IE"/>
              </w:rPr>
              <w:t>1.362</w:t>
            </w:r>
          </w:p>
        </w:tc>
        <w:tc>
          <w:tcPr>
            <w:tcW w:w="887" w:type="dxa"/>
            <w:vAlign w:val="bottom"/>
          </w:tcPr>
          <w:p w14:paraId="3A2C466B"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4F965129" w14:textId="77777777" w:rsidR="0042504F" w:rsidRPr="00406187" w:rsidRDefault="0042504F" w:rsidP="0063690F">
            <w:pPr>
              <w:jc w:val="right"/>
              <w:rPr>
                <w:sz w:val="20"/>
                <w:szCs w:val="20"/>
                <w:lang w:val="en-IE"/>
              </w:rPr>
            </w:pPr>
            <w:r w:rsidRPr="00406187">
              <w:rPr>
                <w:sz w:val="20"/>
                <w:szCs w:val="20"/>
                <w:lang w:val="en-IE"/>
              </w:rPr>
              <w:t>1.222</w:t>
            </w:r>
          </w:p>
        </w:tc>
        <w:tc>
          <w:tcPr>
            <w:tcW w:w="887" w:type="dxa"/>
            <w:vAlign w:val="bottom"/>
          </w:tcPr>
          <w:p w14:paraId="54B46703"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144614EC" w14:textId="77777777" w:rsidTr="00406187">
        <w:tc>
          <w:tcPr>
            <w:tcW w:w="2802" w:type="dxa"/>
            <w:vAlign w:val="bottom"/>
          </w:tcPr>
          <w:p w14:paraId="74F6E05E" w14:textId="77777777" w:rsidR="0042504F" w:rsidRPr="00406187" w:rsidRDefault="0042504F" w:rsidP="0063690F">
            <w:pPr>
              <w:rPr>
                <w:sz w:val="20"/>
                <w:szCs w:val="20"/>
                <w:lang w:val="en-IE"/>
              </w:rPr>
            </w:pPr>
            <w:r w:rsidRPr="00406187">
              <w:rPr>
                <w:sz w:val="20"/>
                <w:szCs w:val="20"/>
                <w:lang w:val="en-IE"/>
              </w:rPr>
              <w:t>Home address is Dublin or not</w:t>
            </w:r>
          </w:p>
        </w:tc>
        <w:tc>
          <w:tcPr>
            <w:tcW w:w="258" w:type="dxa"/>
          </w:tcPr>
          <w:p w14:paraId="3E0A7980" w14:textId="77777777" w:rsidR="0042504F" w:rsidRPr="00406187" w:rsidRDefault="0042504F" w:rsidP="0063690F">
            <w:pPr>
              <w:rPr>
                <w:sz w:val="20"/>
                <w:szCs w:val="20"/>
                <w:lang w:val="en-IE"/>
              </w:rPr>
            </w:pPr>
          </w:p>
        </w:tc>
        <w:tc>
          <w:tcPr>
            <w:tcW w:w="888" w:type="dxa"/>
          </w:tcPr>
          <w:p w14:paraId="32E3E703" w14:textId="77777777" w:rsidR="0042504F" w:rsidRPr="00406187" w:rsidRDefault="0042504F" w:rsidP="0063690F">
            <w:pPr>
              <w:rPr>
                <w:sz w:val="20"/>
                <w:szCs w:val="20"/>
                <w:lang w:val="en-IE"/>
              </w:rPr>
            </w:pPr>
          </w:p>
        </w:tc>
        <w:tc>
          <w:tcPr>
            <w:tcW w:w="989" w:type="dxa"/>
          </w:tcPr>
          <w:p w14:paraId="6C222AD0" w14:textId="77777777" w:rsidR="0042504F" w:rsidRPr="00406187" w:rsidRDefault="0042504F" w:rsidP="0063690F">
            <w:pPr>
              <w:rPr>
                <w:sz w:val="20"/>
                <w:szCs w:val="20"/>
                <w:lang w:val="en-IE"/>
              </w:rPr>
            </w:pPr>
          </w:p>
        </w:tc>
        <w:tc>
          <w:tcPr>
            <w:tcW w:w="887" w:type="dxa"/>
          </w:tcPr>
          <w:p w14:paraId="75D16DC3" w14:textId="77777777" w:rsidR="0042504F" w:rsidRPr="00406187" w:rsidRDefault="0042504F" w:rsidP="0063690F">
            <w:pPr>
              <w:rPr>
                <w:sz w:val="20"/>
                <w:szCs w:val="20"/>
                <w:lang w:val="en-IE"/>
              </w:rPr>
            </w:pPr>
          </w:p>
        </w:tc>
        <w:tc>
          <w:tcPr>
            <w:tcW w:w="989" w:type="dxa"/>
          </w:tcPr>
          <w:p w14:paraId="7E6CC9F2" w14:textId="77777777" w:rsidR="0042504F" w:rsidRPr="00406187" w:rsidRDefault="0042504F" w:rsidP="0063690F">
            <w:pPr>
              <w:rPr>
                <w:sz w:val="20"/>
                <w:szCs w:val="20"/>
                <w:lang w:val="en-IE"/>
              </w:rPr>
            </w:pPr>
          </w:p>
        </w:tc>
        <w:tc>
          <w:tcPr>
            <w:tcW w:w="887" w:type="dxa"/>
          </w:tcPr>
          <w:p w14:paraId="2E8C4FB6" w14:textId="77777777" w:rsidR="0042504F" w:rsidRPr="00406187" w:rsidRDefault="0042504F" w:rsidP="0063690F">
            <w:pPr>
              <w:rPr>
                <w:sz w:val="20"/>
                <w:szCs w:val="20"/>
                <w:lang w:val="en-IE"/>
              </w:rPr>
            </w:pPr>
          </w:p>
        </w:tc>
        <w:tc>
          <w:tcPr>
            <w:tcW w:w="989" w:type="dxa"/>
          </w:tcPr>
          <w:p w14:paraId="57DACA43" w14:textId="77777777" w:rsidR="0042504F" w:rsidRPr="00406187" w:rsidRDefault="0042504F" w:rsidP="0063690F">
            <w:pPr>
              <w:rPr>
                <w:sz w:val="20"/>
                <w:szCs w:val="20"/>
                <w:lang w:val="en-IE"/>
              </w:rPr>
            </w:pPr>
          </w:p>
        </w:tc>
        <w:tc>
          <w:tcPr>
            <w:tcW w:w="887" w:type="dxa"/>
          </w:tcPr>
          <w:p w14:paraId="7F8E61AD" w14:textId="77777777" w:rsidR="0042504F" w:rsidRPr="00406187" w:rsidRDefault="0042504F" w:rsidP="0063690F">
            <w:pPr>
              <w:rPr>
                <w:sz w:val="20"/>
                <w:szCs w:val="20"/>
                <w:lang w:val="en-IE"/>
              </w:rPr>
            </w:pPr>
          </w:p>
        </w:tc>
      </w:tr>
      <w:tr w:rsidR="00406187" w:rsidRPr="00406187" w14:paraId="7F58A1E9" w14:textId="77777777" w:rsidTr="00406187">
        <w:tc>
          <w:tcPr>
            <w:tcW w:w="2802" w:type="dxa"/>
            <w:vAlign w:val="bottom"/>
          </w:tcPr>
          <w:p w14:paraId="5F9D6AF0" w14:textId="26F44255" w:rsidR="0042504F" w:rsidRPr="00406187" w:rsidRDefault="0042504F" w:rsidP="0063690F">
            <w:pPr>
              <w:rPr>
                <w:sz w:val="20"/>
                <w:szCs w:val="20"/>
                <w:lang w:val="en-IE"/>
              </w:rPr>
            </w:pPr>
            <w:r w:rsidRPr="00406187">
              <w:rPr>
                <w:sz w:val="20"/>
                <w:szCs w:val="20"/>
                <w:lang w:val="en-IE"/>
              </w:rPr>
              <w:t xml:space="preserve">  </w:t>
            </w:r>
            <w:r w:rsidR="00406187">
              <w:rPr>
                <w:sz w:val="20"/>
                <w:szCs w:val="20"/>
                <w:lang w:val="en-IE"/>
              </w:rPr>
              <w:t>Yes</w:t>
            </w:r>
          </w:p>
        </w:tc>
        <w:tc>
          <w:tcPr>
            <w:tcW w:w="258" w:type="dxa"/>
          </w:tcPr>
          <w:p w14:paraId="351C64C9" w14:textId="77777777" w:rsidR="0042504F" w:rsidRPr="00406187" w:rsidRDefault="0042504F" w:rsidP="0063690F">
            <w:pPr>
              <w:rPr>
                <w:sz w:val="20"/>
                <w:szCs w:val="20"/>
                <w:lang w:val="en-IE"/>
              </w:rPr>
            </w:pPr>
          </w:p>
        </w:tc>
        <w:tc>
          <w:tcPr>
            <w:tcW w:w="888" w:type="dxa"/>
          </w:tcPr>
          <w:p w14:paraId="1D534691" w14:textId="77777777" w:rsidR="0042504F" w:rsidRPr="00406187" w:rsidRDefault="0042504F" w:rsidP="0063690F">
            <w:pPr>
              <w:rPr>
                <w:sz w:val="20"/>
                <w:szCs w:val="20"/>
                <w:lang w:val="en-IE"/>
              </w:rPr>
            </w:pPr>
          </w:p>
        </w:tc>
        <w:tc>
          <w:tcPr>
            <w:tcW w:w="989" w:type="dxa"/>
            <w:vAlign w:val="bottom"/>
          </w:tcPr>
          <w:p w14:paraId="1EC6F076" w14:textId="77777777" w:rsidR="0042504F" w:rsidRPr="00406187" w:rsidRDefault="0042504F" w:rsidP="0063690F">
            <w:pPr>
              <w:jc w:val="right"/>
              <w:rPr>
                <w:sz w:val="20"/>
                <w:szCs w:val="20"/>
                <w:lang w:val="en-IE"/>
              </w:rPr>
            </w:pPr>
            <w:r w:rsidRPr="00406187">
              <w:rPr>
                <w:sz w:val="20"/>
                <w:szCs w:val="20"/>
                <w:lang w:val="en-IE"/>
              </w:rPr>
              <w:t>1.066</w:t>
            </w:r>
          </w:p>
        </w:tc>
        <w:tc>
          <w:tcPr>
            <w:tcW w:w="887" w:type="dxa"/>
            <w:vAlign w:val="bottom"/>
          </w:tcPr>
          <w:p w14:paraId="510392CB"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11234ADE" w14:textId="77777777" w:rsidR="0042504F" w:rsidRPr="00406187" w:rsidRDefault="0042504F" w:rsidP="0063690F">
            <w:pPr>
              <w:jc w:val="right"/>
              <w:rPr>
                <w:sz w:val="20"/>
                <w:szCs w:val="20"/>
                <w:lang w:val="en-IE"/>
              </w:rPr>
            </w:pPr>
            <w:r w:rsidRPr="00406187">
              <w:rPr>
                <w:sz w:val="20"/>
                <w:szCs w:val="20"/>
                <w:lang w:val="en-IE"/>
              </w:rPr>
              <w:t>1.103</w:t>
            </w:r>
          </w:p>
        </w:tc>
        <w:tc>
          <w:tcPr>
            <w:tcW w:w="887" w:type="dxa"/>
            <w:vAlign w:val="bottom"/>
          </w:tcPr>
          <w:p w14:paraId="11FBE751"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07E5B88A" w14:textId="77777777" w:rsidR="0042504F" w:rsidRPr="00406187" w:rsidRDefault="0042504F" w:rsidP="0063690F">
            <w:pPr>
              <w:jc w:val="right"/>
              <w:rPr>
                <w:sz w:val="20"/>
                <w:szCs w:val="20"/>
                <w:lang w:val="en-IE"/>
              </w:rPr>
            </w:pPr>
            <w:r w:rsidRPr="00406187">
              <w:rPr>
                <w:sz w:val="20"/>
                <w:szCs w:val="20"/>
                <w:lang w:val="en-IE"/>
              </w:rPr>
              <w:t>1.103</w:t>
            </w:r>
          </w:p>
        </w:tc>
        <w:tc>
          <w:tcPr>
            <w:tcW w:w="887" w:type="dxa"/>
            <w:vAlign w:val="bottom"/>
          </w:tcPr>
          <w:p w14:paraId="12E53CC2"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3DDDFAED" w14:textId="77777777" w:rsidTr="00406187">
        <w:tc>
          <w:tcPr>
            <w:tcW w:w="2802" w:type="dxa"/>
            <w:vAlign w:val="bottom"/>
          </w:tcPr>
          <w:p w14:paraId="064853C5" w14:textId="77777777" w:rsidR="0042504F" w:rsidRPr="00406187" w:rsidRDefault="0042504F" w:rsidP="0063690F">
            <w:pPr>
              <w:rPr>
                <w:sz w:val="20"/>
                <w:szCs w:val="20"/>
                <w:lang w:val="en-IE"/>
              </w:rPr>
            </w:pPr>
            <w:r w:rsidRPr="00406187">
              <w:rPr>
                <w:sz w:val="20"/>
                <w:szCs w:val="20"/>
                <w:lang w:val="en-IE"/>
              </w:rPr>
              <w:t>Higher Education sector</w:t>
            </w:r>
          </w:p>
        </w:tc>
        <w:tc>
          <w:tcPr>
            <w:tcW w:w="258" w:type="dxa"/>
          </w:tcPr>
          <w:p w14:paraId="1FC2643E" w14:textId="77777777" w:rsidR="0042504F" w:rsidRPr="00406187" w:rsidRDefault="0042504F" w:rsidP="0063690F">
            <w:pPr>
              <w:rPr>
                <w:sz w:val="20"/>
                <w:szCs w:val="20"/>
                <w:lang w:val="en-IE"/>
              </w:rPr>
            </w:pPr>
          </w:p>
        </w:tc>
        <w:tc>
          <w:tcPr>
            <w:tcW w:w="888" w:type="dxa"/>
          </w:tcPr>
          <w:p w14:paraId="7F8C506C" w14:textId="77777777" w:rsidR="0042504F" w:rsidRPr="00406187" w:rsidRDefault="0042504F" w:rsidP="0063690F">
            <w:pPr>
              <w:rPr>
                <w:sz w:val="20"/>
                <w:szCs w:val="20"/>
                <w:lang w:val="en-IE"/>
              </w:rPr>
            </w:pPr>
          </w:p>
        </w:tc>
        <w:tc>
          <w:tcPr>
            <w:tcW w:w="989" w:type="dxa"/>
          </w:tcPr>
          <w:p w14:paraId="44F63E63" w14:textId="77777777" w:rsidR="0042504F" w:rsidRPr="00406187" w:rsidRDefault="0042504F" w:rsidP="0063690F">
            <w:pPr>
              <w:rPr>
                <w:sz w:val="20"/>
                <w:szCs w:val="20"/>
                <w:lang w:val="en-IE"/>
              </w:rPr>
            </w:pPr>
          </w:p>
        </w:tc>
        <w:tc>
          <w:tcPr>
            <w:tcW w:w="887" w:type="dxa"/>
          </w:tcPr>
          <w:p w14:paraId="35C43F3F" w14:textId="77777777" w:rsidR="0042504F" w:rsidRPr="00406187" w:rsidRDefault="0042504F" w:rsidP="0063690F">
            <w:pPr>
              <w:rPr>
                <w:sz w:val="20"/>
                <w:szCs w:val="20"/>
                <w:lang w:val="en-IE"/>
              </w:rPr>
            </w:pPr>
          </w:p>
        </w:tc>
        <w:tc>
          <w:tcPr>
            <w:tcW w:w="989" w:type="dxa"/>
          </w:tcPr>
          <w:p w14:paraId="44BB2136" w14:textId="77777777" w:rsidR="0042504F" w:rsidRPr="00406187" w:rsidRDefault="0042504F" w:rsidP="0063690F">
            <w:pPr>
              <w:rPr>
                <w:sz w:val="20"/>
                <w:szCs w:val="20"/>
                <w:lang w:val="en-IE"/>
              </w:rPr>
            </w:pPr>
          </w:p>
        </w:tc>
        <w:tc>
          <w:tcPr>
            <w:tcW w:w="887" w:type="dxa"/>
          </w:tcPr>
          <w:p w14:paraId="59F5FFD7" w14:textId="77777777" w:rsidR="0042504F" w:rsidRPr="00406187" w:rsidRDefault="0042504F" w:rsidP="0063690F">
            <w:pPr>
              <w:rPr>
                <w:sz w:val="20"/>
                <w:szCs w:val="20"/>
                <w:lang w:val="en-IE"/>
              </w:rPr>
            </w:pPr>
          </w:p>
        </w:tc>
        <w:tc>
          <w:tcPr>
            <w:tcW w:w="989" w:type="dxa"/>
          </w:tcPr>
          <w:p w14:paraId="4D64B22C" w14:textId="77777777" w:rsidR="0042504F" w:rsidRPr="00406187" w:rsidRDefault="0042504F" w:rsidP="0063690F">
            <w:pPr>
              <w:rPr>
                <w:sz w:val="20"/>
                <w:szCs w:val="20"/>
                <w:lang w:val="en-IE"/>
              </w:rPr>
            </w:pPr>
          </w:p>
        </w:tc>
        <w:tc>
          <w:tcPr>
            <w:tcW w:w="887" w:type="dxa"/>
          </w:tcPr>
          <w:p w14:paraId="2B141E5F" w14:textId="77777777" w:rsidR="0042504F" w:rsidRPr="00406187" w:rsidRDefault="0042504F" w:rsidP="0063690F">
            <w:pPr>
              <w:rPr>
                <w:sz w:val="20"/>
                <w:szCs w:val="20"/>
                <w:lang w:val="en-IE"/>
              </w:rPr>
            </w:pPr>
          </w:p>
        </w:tc>
      </w:tr>
      <w:tr w:rsidR="00406187" w:rsidRPr="00406187" w14:paraId="35D99EB6" w14:textId="77777777" w:rsidTr="00406187">
        <w:tc>
          <w:tcPr>
            <w:tcW w:w="2802" w:type="dxa"/>
            <w:vAlign w:val="bottom"/>
          </w:tcPr>
          <w:p w14:paraId="07F03CD4" w14:textId="77777777" w:rsidR="0042504F" w:rsidRPr="00406187" w:rsidRDefault="0042504F" w:rsidP="0063690F">
            <w:pPr>
              <w:rPr>
                <w:sz w:val="20"/>
                <w:szCs w:val="20"/>
                <w:lang w:val="en-IE"/>
              </w:rPr>
            </w:pPr>
            <w:r w:rsidRPr="00406187">
              <w:rPr>
                <w:sz w:val="20"/>
                <w:szCs w:val="20"/>
                <w:lang w:val="en-IE"/>
              </w:rPr>
              <w:t xml:space="preserve">  Technical Universities, IOT's &amp; affiliated colleges</w:t>
            </w:r>
          </w:p>
        </w:tc>
        <w:tc>
          <w:tcPr>
            <w:tcW w:w="258" w:type="dxa"/>
          </w:tcPr>
          <w:p w14:paraId="265A459E" w14:textId="77777777" w:rsidR="0042504F" w:rsidRPr="00406187" w:rsidRDefault="0042504F" w:rsidP="0063690F">
            <w:pPr>
              <w:rPr>
                <w:sz w:val="20"/>
                <w:szCs w:val="20"/>
                <w:lang w:val="en-IE"/>
              </w:rPr>
            </w:pPr>
          </w:p>
        </w:tc>
        <w:tc>
          <w:tcPr>
            <w:tcW w:w="888" w:type="dxa"/>
          </w:tcPr>
          <w:p w14:paraId="702D8581" w14:textId="77777777" w:rsidR="0042504F" w:rsidRPr="00406187" w:rsidRDefault="0042504F" w:rsidP="0063690F">
            <w:pPr>
              <w:rPr>
                <w:sz w:val="20"/>
                <w:szCs w:val="20"/>
                <w:lang w:val="en-IE"/>
              </w:rPr>
            </w:pPr>
          </w:p>
        </w:tc>
        <w:tc>
          <w:tcPr>
            <w:tcW w:w="989" w:type="dxa"/>
          </w:tcPr>
          <w:p w14:paraId="1D678E2A" w14:textId="77777777" w:rsidR="0042504F" w:rsidRPr="00406187" w:rsidRDefault="0042504F" w:rsidP="0063690F">
            <w:pPr>
              <w:rPr>
                <w:sz w:val="20"/>
                <w:szCs w:val="20"/>
                <w:lang w:val="en-IE"/>
              </w:rPr>
            </w:pPr>
          </w:p>
        </w:tc>
        <w:tc>
          <w:tcPr>
            <w:tcW w:w="887" w:type="dxa"/>
          </w:tcPr>
          <w:p w14:paraId="28C5B51B" w14:textId="77777777" w:rsidR="0042504F" w:rsidRPr="00406187" w:rsidRDefault="0042504F" w:rsidP="0063690F">
            <w:pPr>
              <w:rPr>
                <w:sz w:val="20"/>
                <w:szCs w:val="20"/>
                <w:lang w:val="en-IE"/>
              </w:rPr>
            </w:pPr>
          </w:p>
        </w:tc>
        <w:tc>
          <w:tcPr>
            <w:tcW w:w="989" w:type="dxa"/>
            <w:vAlign w:val="bottom"/>
          </w:tcPr>
          <w:p w14:paraId="43C18A1A" w14:textId="77777777" w:rsidR="0042504F" w:rsidRPr="00406187" w:rsidRDefault="0042504F" w:rsidP="0063690F">
            <w:pPr>
              <w:jc w:val="right"/>
              <w:rPr>
                <w:sz w:val="20"/>
                <w:szCs w:val="20"/>
                <w:lang w:val="en-IE"/>
              </w:rPr>
            </w:pPr>
            <w:r w:rsidRPr="00406187">
              <w:rPr>
                <w:sz w:val="20"/>
                <w:szCs w:val="20"/>
                <w:lang w:val="en-IE"/>
              </w:rPr>
              <w:t>2.461</w:t>
            </w:r>
          </w:p>
        </w:tc>
        <w:tc>
          <w:tcPr>
            <w:tcW w:w="887" w:type="dxa"/>
            <w:vAlign w:val="bottom"/>
          </w:tcPr>
          <w:p w14:paraId="72DBD13F"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75F75ADD" w14:textId="77777777" w:rsidR="0042504F" w:rsidRPr="00406187" w:rsidRDefault="0042504F" w:rsidP="0063690F">
            <w:pPr>
              <w:jc w:val="right"/>
              <w:rPr>
                <w:sz w:val="20"/>
                <w:szCs w:val="20"/>
                <w:lang w:val="en-IE"/>
              </w:rPr>
            </w:pPr>
            <w:r w:rsidRPr="00406187">
              <w:rPr>
                <w:sz w:val="20"/>
                <w:szCs w:val="20"/>
                <w:lang w:val="en-IE"/>
              </w:rPr>
              <w:t>1.368</w:t>
            </w:r>
          </w:p>
        </w:tc>
        <w:tc>
          <w:tcPr>
            <w:tcW w:w="887" w:type="dxa"/>
            <w:vAlign w:val="bottom"/>
          </w:tcPr>
          <w:p w14:paraId="2D65CF97"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1D6DA28B" w14:textId="77777777" w:rsidTr="00406187">
        <w:tc>
          <w:tcPr>
            <w:tcW w:w="2802" w:type="dxa"/>
            <w:vAlign w:val="bottom"/>
          </w:tcPr>
          <w:p w14:paraId="78AA7133" w14:textId="77777777" w:rsidR="0042504F" w:rsidRPr="00406187" w:rsidRDefault="0042504F" w:rsidP="0063690F">
            <w:pPr>
              <w:rPr>
                <w:sz w:val="20"/>
                <w:szCs w:val="20"/>
                <w:lang w:val="en-IE"/>
              </w:rPr>
            </w:pPr>
            <w:r w:rsidRPr="00406187">
              <w:rPr>
                <w:sz w:val="20"/>
                <w:szCs w:val="20"/>
                <w:lang w:val="en-IE"/>
              </w:rPr>
              <w:t>ISCED Broad</w:t>
            </w:r>
          </w:p>
        </w:tc>
        <w:tc>
          <w:tcPr>
            <w:tcW w:w="258" w:type="dxa"/>
          </w:tcPr>
          <w:p w14:paraId="3DC59D80" w14:textId="77777777" w:rsidR="0042504F" w:rsidRPr="00406187" w:rsidRDefault="0042504F" w:rsidP="0063690F">
            <w:pPr>
              <w:rPr>
                <w:sz w:val="20"/>
                <w:szCs w:val="20"/>
                <w:lang w:val="en-IE"/>
              </w:rPr>
            </w:pPr>
          </w:p>
        </w:tc>
        <w:tc>
          <w:tcPr>
            <w:tcW w:w="888" w:type="dxa"/>
          </w:tcPr>
          <w:p w14:paraId="61380799" w14:textId="77777777" w:rsidR="0042504F" w:rsidRPr="00406187" w:rsidRDefault="0042504F" w:rsidP="0063690F">
            <w:pPr>
              <w:rPr>
                <w:sz w:val="20"/>
                <w:szCs w:val="20"/>
                <w:lang w:val="en-IE"/>
              </w:rPr>
            </w:pPr>
          </w:p>
        </w:tc>
        <w:tc>
          <w:tcPr>
            <w:tcW w:w="989" w:type="dxa"/>
          </w:tcPr>
          <w:p w14:paraId="3D885917" w14:textId="77777777" w:rsidR="0042504F" w:rsidRPr="00406187" w:rsidRDefault="0042504F" w:rsidP="0063690F">
            <w:pPr>
              <w:rPr>
                <w:sz w:val="20"/>
                <w:szCs w:val="20"/>
                <w:lang w:val="en-IE"/>
              </w:rPr>
            </w:pPr>
          </w:p>
        </w:tc>
        <w:tc>
          <w:tcPr>
            <w:tcW w:w="887" w:type="dxa"/>
          </w:tcPr>
          <w:p w14:paraId="32CE9F66" w14:textId="77777777" w:rsidR="0042504F" w:rsidRPr="00406187" w:rsidRDefault="0042504F" w:rsidP="0063690F">
            <w:pPr>
              <w:rPr>
                <w:sz w:val="20"/>
                <w:szCs w:val="20"/>
                <w:lang w:val="en-IE"/>
              </w:rPr>
            </w:pPr>
          </w:p>
        </w:tc>
        <w:tc>
          <w:tcPr>
            <w:tcW w:w="989" w:type="dxa"/>
          </w:tcPr>
          <w:p w14:paraId="3BC5CFF1" w14:textId="77777777" w:rsidR="0042504F" w:rsidRPr="00406187" w:rsidRDefault="0042504F" w:rsidP="0063690F">
            <w:pPr>
              <w:rPr>
                <w:sz w:val="20"/>
                <w:szCs w:val="20"/>
                <w:lang w:val="en-IE"/>
              </w:rPr>
            </w:pPr>
          </w:p>
        </w:tc>
        <w:tc>
          <w:tcPr>
            <w:tcW w:w="887" w:type="dxa"/>
          </w:tcPr>
          <w:p w14:paraId="2EC719C2" w14:textId="77777777" w:rsidR="0042504F" w:rsidRPr="00406187" w:rsidRDefault="0042504F" w:rsidP="0063690F">
            <w:pPr>
              <w:rPr>
                <w:sz w:val="20"/>
                <w:szCs w:val="20"/>
                <w:lang w:val="en-IE"/>
              </w:rPr>
            </w:pPr>
          </w:p>
        </w:tc>
        <w:tc>
          <w:tcPr>
            <w:tcW w:w="989" w:type="dxa"/>
          </w:tcPr>
          <w:p w14:paraId="2733ECB6" w14:textId="77777777" w:rsidR="0042504F" w:rsidRPr="00406187" w:rsidRDefault="0042504F" w:rsidP="0063690F">
            <w:pPr>
              <w:rPr>
                <w:sz w:val="20"/>
                <w:szCs w:val="20"/>
                <w:lang w:val="en-IE"/>
              </w:rPr>
            </w:pPr>
          </w:p>
        </w:tc>
        <w:tc>
          <w:tcPr>
            <w:tcW w:w="887" w:type="dxa"/>
          </w:tcPr>
          <w:p w14:paraId="0E0CD5AA" w14:textId="77777777" w:rsidR="0042504F" w:rsidRPr="00406187" w:rsidRDefault="0042504F" w:rsidP="0063690F">
            <w:pPr>
              <w:rPr>
                <w:sz w:val="20"/>
                <w:szCs w:val="20"/>
                <w:lang w:val="en-IE"/>
              </w:rPr>
            </w:pPr>
          </w:p>
        </w:tc>
      </w:tr>
      <w:tr w:rsidR="00406187" w:rsidRPr="00406187" w14:paraId="4390CE1C" w14:textId="77777777" w:rsidTr="00406187">
        <w:tc>
          <w:tcPr>
            <w:tcW w:w="2802" w:type="dxa"/>
            <w:vAlign w:val="bottom"/>
          </w:tcPr>
          <w:p w14:paraId="1201626D" w14:textId="77777777" w:rsidR="0042504F" w:rsidRPr="00406187" w:rsidRDefault="0042504F" w:rsidP="0063690F">
            <w:pPr>
              <w:rPr>
                <w:sz w:val="20"/>
                <w:szCs w:val="20"/>
                <w:lang w:val="en-IE"/>
              </w:rPr>
            </w:pPr>
            <w:r w:rsidRPr="00406187">
              <w:rPr>
                <w:sz w:val="20"/>
                <w:szCs w:val="20"/>
                <w:lang w:val="en-IE"/>
              </w:rPr>
              <w:t xml:space="preserve">  Agriculture</w:t>
            </w:r>
          </w:p>
        </w:tc>
        <w:tc>
          <w:tcPr>
            <w:tcW w:w="258" w:type="dxa"/>
          </w:tcPr>
          <w:p w14:paraId="5A299E5A" w14:textId="77777777" w:rsidR="0042504F" w:rsidRPr="00406187" w:rsidRDefault="0042504F" w:rsidP="0063690F">
            <w:pPr>
              <w:rPr>
                <w:sz w:val="20"/>
                <w:szCs w:val="20"/>
                <w:lang w:val="en-IE"/>
              </w:rPr>
            </w:pPr>
          </w:p>
        </w:tc>
        <w:tc>
          <w:tcPr>
            <w:tcW w:w="888" w:type="dxa"/>
          </w:tcPr>
          <w:p w14:paraId="09ACC9BA" w14:textId="77777777" w:rsidR="0042504F" w:rsidRPr="00406187" w:rsidRDefault="0042504F" w:rsidP="0063690F">
            <w:pPr>
              <w:rPr>
                <w:sz w:val="20"/>
                <w:szCs w:val="20"/>
                <w:lang w:val="en-IE"/>
              </w:rPr>
            </w:pPr>
          </w:p>
        </w:tc>
        <w:tc>
          <w:tcPr>
            <w:tcW w:w="989" w:type="dxa"/>
          </w:tcPr>
          <w:p w14:paraId="44C38EAE" w14:textId="77777777" w:rsidR="0042504F" w:rsidRPr="00406187" w:rsidRDefault="0042504F" w:rsidP="0063690F">
            <w:pPr>
              <w:rPr>
                <w:sz w:val="20"/>
                <w:szCs w:val="20"/>
                <w:lang w:val="en-IE"/>
              </w:rPr>
            </w:pPr>
          </w:p>
        </w:tc>
        <w:tc>
          <w:tcPr>
            <w:tcW w:w="887" w:type="dxa"/>
          </w:tcPr>
          <w:p w14:paraId="1D458633" w14:textId="77777777" w:rsidR="0042504F" w:rsidRPr="00406187" w:rsidRDefault="0042504F" w:rsidP="0063690F">
            <w:pPr>
              <w:rPr>
                <w:sz w:val="20"/>
                <w:szCs w:val="20"/>
                <w:lang w:val="en-IE"/>
              </w:rPr>
            </w:pPr>
          </w:p>
        </w:tc>
        <w:tc>
          <w:tcPr>
            <w:tcW w:w="989" w:type="dxa"/>
            <w:vAlign w:val="bottom"/>
          </w:tcPr>
          <w:p w14:paraId="0F3A15F7" w14:textId="77777777" w:rsidR="0042504F" w:rsidRPr="00406187" w:rsidRDefault="0042504F" w:rsidP="0063690F">
            <w:pPr>
              <w:jc w:val="right"/>
              <w:rPr>
                <w:sz w:val="20"/>
                <w:szCs w:val="20"/>
                <w:lang w:val="en-IE"/>
              </w:rPr>
            </w:pPr>
            <w:r w:rsidRPr="00406187">
              <w:rPr>
                <w:sz w:val="20"/>
                <w:szCs w:val="20"/>
                <w:lang w:val="en-IE"/>
              </w:rPr>
              <w:t>0.694</w:t>
            </w:r>
          </w:p>
        </w:tc>
        <w:tc>
          <w:tcPr>
            <w:tcW w:w="887" w:type="dxa"/>
            <w:vAlign w:val="bottom"/>
          </w:tcPr>
          <w:p w14:paraId="42696A7D"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61271B5E" w14:textId="77777777" w:rsidR="0042504F" w:rsidRPr="00406187" w:rsidRDefault="0042504F" w:rsidP="0063690F">
            <w:pPr>
              <w:jc w:val="right"/>
              <w:rPr>
                <w:sz w:val="20"/>
                <w:szCs w:val="20"/>
                <w:lang w:val="en-IE"/>
              </w:rPr>
            </w:pPr>
            <w:r w:rsidRPr="00406187">
              <w:rPr>
                <w:sz w:val="20"/>
                <w:szCs w:val="20"/>
                <w:lang w:val="en-IE"/>
              </w:rPr>
              <w:t>0.691</w:t>
            </w:r>
          </w:p>
        </w:tc>
        <w:tc>
          <w:tcPr>
            <w:tcW w:w="887" w:type="dxa"/>
            <w:vAlign w:val="bottom"/>
          </w:tcPr>
          <w:p w14:paraId="3451DCCF"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058B2890" w14:textId="77777777" w:rsidTr="00406187">
        <w:tc>
          <w:tcPr>
            <w:tcW w:w="2802" w:type="dxa"/>
            <w:vAlign w:val="bottom"/>
          </w:tcPr>
          <w:p w14:paraId="253FEB01" w14:textId="77777777" w:rsidR="0042504F" w:rsidRPr="00406187" w:rsidRDefault="0042504F" w:rsidP="0063690F">
            <w:pPr>
              <w:rPr>
                <w:sz w:val="20"/>
                <w:szCs w:val="20"/>
                <w:lang w:val="en-IE"/>
              </w:rPr>
            </w:pPr>
            <w:r w:rsidRPr="00406187">
              <w:rPr>
                <w:sz w:val="20"/>
                <w:szCs w:val="20"/>
                <w:lang w:val="en-IE"/>
              </w:rPr>
              <w:t xml:space="preserve">  Arts</w:t>
            </w:r>
          </w:p>
        </w:tc>
        <w:tc>
          <w:tcPr>
            <w:tcW w:w="258" w:type="dxa"/>
          </w:tcPr>
          <w:p w14:paraId="20274F3F" w14:textId="77777777" w:rsidR="0042504F" w:rsidRPr="00406187" w:rsidRDefault="0042504F" w:rsidP="0063690F">
            <w:pPr>
              <w:rPr>
                <w:sz w:val="20"/>
                <w:szCs w:val="20"/>
                <w:lang w:val="en-IE"/>
              </w:rPr>
            </w:pPr>
          </w:p>
        </w:tc>
        <w:tc>
          <w:tcPr>
            <w:tcW w:w="888" w:type="dxa"/>
          </w:tcPr>
          <w:p w14:paraId="1F17DB1C" w14:textId="77777777" w:rsidR="0042504F" w:rsidRPr="00406187" w:rsidRDefault="0042504F" w:rsidP="0063690F">
            <w:pPr>
              <w:rPr>
                <w:sz w:val="20"/>
                <w:szCs w:val="20"/>
                <w:lang w:val="en-IE"/>
              </w:rPr>
            </w:pPr>
          </w:p>
        </w:tc>
        <w:tc>
          <w:tcPr>
            <w:tcW w:w="989" w:type="dxa"/>
          </w:tcPr>
          <w:p w14:paraId="713D95FD" w14:textId="77777777" w:rsidR="0042504F" w:rsidRPr="00406187" w:rsidRDefault="0042504F" w:rsidP="0063690F">
            <w:pPr>
              <w:rPr>
                <w:sz w:val="20"/>
                <w:szCs w:val="20"/>
                <w:lang w:val="en-IE"/>
              </w:rPr>
            </w:pPr>
          </w:p>
        </w:tc>
        <w:tc>
          <w:tcPr>
            <w:tcW w:w="887" w:type="dxa"/>
          </w:tcPr>
          <w:p w14:paraId="62AFFC6D" w14:textId="77777777" w:rsidR="0042504F" w:rsidRPr="00406187" w:rsidRDefault="0042504F" w:rsidP="0063690F">
            <w:pPr>
              <w:rPr>
                <w:sz w:val="20"/>
                <w:szCs w:val="20"/>
                <w:lang w:val="en-IE"/>
              </w:rPr>
            </w:pPr>
          </w:p>
        </w:tc>
        <w:tc>
          <w:tcPr>
            <w:tcW w:w="989" w:type="dxa"/>
            <w:vAlign w:val="bottom"/>
          </w:tcPr>
          <w:p w14:paraId="1473C2A2" w14:textId="77777777" w:rsidR="0042504F" w:rsidRPr="00406187" w:rsidRDefault="0042504F" w:rsidP="0063690F">
            <w:pPr>
              <w:jc w:val="right"/>
              <w:rPr>
                <w:sz w:val="20"/>
                <w:szCs w:val="20"/>
                <w:lang w:val="en-IE"/>
              </w:rPr>
            </w:pPr>
            <w:r w:rsidRPr="00406187">
              <w:rPr>
                <w:sz w:val="20"/>
                <w:szCs w:val="20"/>
                <w:lang w:val="en-IE"/>
              </w:rPr>
              <w:t>1.929</w:t>
            </w:r>
          </w:p>
        </w:tc>
        <w:tc>
          <w:tcPr>
            <w:tcW w:w="887" w:type="dxa"/>
            <w:vAlign w:val="bottom"/>
          </w:tcPr>
          <w:p w14:paraId="37FE7CF2"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390C1D51" w14:textId="77777777" w:rsidR="0042504F" w:rsidRPr="00406187" w:rsidRDefault="0042504F" w:rsidP="0063690F">
            <w:pPr>
              <w:jc w:val="right"/>
              <w:rPr>
                <w:sz w:val="20"/>
                <w:szCs w:val="20"/>
                <w:lang w:val="en-IE"/>
              </w:rPr>
            </w:pPr>
            <w:r w:rsidRPr="00406187">
              <w:rPr>
                <w:sz w:val="20"/>
                <w:szCs w:val="20"/>
                <w:lang w:val="en-IE"/>
              </w:rPr>
              <w:t>1.537</w:t>
            </w:r>
          </w:p>
        </w:tc>
        <w:tc>
          <w:tcPr>
            <w:tcW w:w="887" w:type="dxa"/>
            <w:vAlign w:val="bottom"/>
          </w:tcPr>
          <w:p w14:paraId="20CD7841"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4330E0DA" w14:textId="77777777" w:rsidTr="00406187">
        <w:tc>
          <w:tcPr>
            <w:tcW w:w="2802" w:type="dxa"/>
            <w:vAlign w:val="bottom"/>
          </w:tcPr>
          <w:p w14:paraId="469FD2B6" w14:textId="77777777" w:rsidR="0042504F" w:rsidRPr="00406187" w:rsidRDefault="0042504F" w:rsidP="0063690F">
            <w:pPr>
              <w:rPr>
                <w:sz w:val="20"/>
                <w:szCs w:val="20"/>
                <w:lang w:val="en-IE"/>
              </w:rPr>
            </w:pPr>
            <w:r w:rsidRPr="00406187">
              <w:rPr>
                <w:sz w:val="20"/>
                <w:szCs w:val="20"/>
                <w:lang w:val="en-IE"/>
              </w:rPr>
              <w:t xml:space="preserve">  Business</w:t>
            </w:r>
          </w:p>
        </w:tc>
        <w:tc>
          <w:tcPr>
            <w:tcW w:w="258" w:type="dxa"/>
          </w:tcPr>
          <w:p w14:paraId="7C636502" w14:textId="77777777" w:rsidR="0042504F" w:rsidRPr="00406187" w:rsidRDefault="0042504F" w:rsidP="0063690F">
            <w:pPr>
              <w:rPr>
                <w:sz w:val="20"/>
                <w:szCs w:val="20"/>
                <w:lang w:val="en-IE"/>
              </w:rPr>
            </w:pPr>
          </w:p>
        </w:tc>
        <w:tc>
          <w:tcPr>
            <w:tcW w:w="888" w:type="dxa"/>
          </w:tcPr>
          <w:p w14:paraId="0C26F637" w14:textId="77777777" w:rsidR="0042504F" w:rsidRPr="00406187" w:rsidRDefault="0042504F" w:rsidP="0063690F">
            <w:pPr>
              <w:rPr>
                <w:sz w:val="20"/>
                <w:szCs w:val="20"/>
                <w:lang w:val="en-IE"/>
              </w:rPr>
            </w:pPr>
          </w:p>
        </w:tc>
        <w:tc>
          <w:tcPr>
            <w:tcW w:w="989" w:type="dxa"/>
          </w:tcPr>
          <w:p w14:paraId="4DC05274" w14:textId="77777777" w:rsidR="0042504F" w:rsidRPr="00406187" w:rsidRDefault="0042504F" w:rsidP="0063690F">
            <w:pPr>
              <w:rPr>
                <w:sz w:val="20"/>
                <w:szCs w:val="20"/>
                <w:lang w:val="en-IE"/>
              </w:rPr>
            </w:pPr>
          </w:p>
        </w:tc>
        <w:tc>
          <w:tcPr>
            <w:tcW w:w="887" w:type="dxa"/>
          </w:tcPr>
          <w:p w14:paraId="66280800" w14:textId="77777777" w:rsidR="0042504F" w:rsidRPr="00406187" w:rsidRDefault="0042504F" w:rsidP="0063690F">
            <w:pPr>
              <w:rPr>
                <w:sz w:val="20"/>
                <w:szCs w:val="20"/>
                <w:lang w:val="en-IE"/>
              </w:rPr>
            </w:pPr>
          </w:p>
        </w:tc>
        <w:tc>
          <w:tcPr>
            <w:tcW w:w="989" w:type="dxa"/>
            <w:vAlign w:val="bottom"/>
          </w:tcPr>
          <w:p w14:paraId="28C7DC5E" w14:textId="77777777" w:rsidR="0042504F" w:rsidRPr="00406187" w:rsidRDefault="0042504F" w:rsidP="0063690F">
            <w:pPr>
              <w:jc w:val="right"/>
              <w:rPr>
                <w:sz w:val="20"/>
                <w:szCs w:val="20"/>
                <w:lang w:val="en-IE"/>
              </w:rPr>
            </w:pPr>
            <w:r w:rsidRPr="00406187">
              <w:rPr>
                <w:sz w:val="20"/>
                <w:szCs w:val="20"/>
                <w:lang w:val="en-IE"/>
              </w:rPr>
              <w:t>1.111</w:t>
            </w:r>
          </w:p>
        </w:tc>
        <w:tc>
          <w:tcPr>
            <w:tcW w:w="887" w:type="dxa"/>
            <w:vAlign w:val="bottom"/>
          </w:tcPr>
          <w:p w14:paraId="165DB900"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248EE6FB" w14:textId="77777777" w:rsidR="0042504F" w:rsidRPr="00406187" w:rsidRDefault="0042504F" w:rsidP="0063690F">
            <w:pPr>
              <w:jc w:val="right"/>
              <w:rPr>
                <w:sz w:val="20"/>
                <w:szCs w:val="20"/>
                <w:lang w:val="en-IE"/>
              </w:rPr>
            </w:pPr>
            <w:r w:rsidRPr="00406187">
              <w:rPr>
                <w:sz w:val="20"/>
                <w:szCs w:val="20"/>
                <w:lang w:val="en-IE"/>
              </w:rPr>
              <w:t>1.063</w:t>
            </w:r>
          </w:p>
        </w:tc>
        <w:tc>
          <w:tcPr>
            <w:tcW w:w="887" w:type="dxa"/>
          </w:tcPr>
          <w:p w14:paraId="193FE495" w14:textId="77777777" w:rsidR="0042504F" w:rsidRPr="00406187" w:rsidRDefault="0042504F" w:rsidP="0063690F">
            <w:pPr>
              <w:rPr>
                <w:sz w:val="20"/>
                <w:szCs w:val="20"/>
                <w:lang w:val="en-IE"/>
              </w:rPr>
            </w:pPr>
          </w:p>
        </w:tc>
      </w:tr>
      <w:tr w:rsidR="00406187" w:rsidRPr="00406187" w14:paraId="7D9A17BE" w14:textId="77777777" w:rsidTr="00406187">
        <w:tc>
          <w:tcPr>
            <w:tcW w:w="2802" w:type="dxa"/>
            <w:vAlign w:val="bottom"/>
          </w:tcPr>
          <w:p w14:paraId="452ED1ED" w14:textId="77777777" w:rsidR="0042504F" w:rsidRPr="00406187" w:rsidRDefault="0042504F" w:rsidP="0063690F">
            <w:pPr>
              <w:rPr>
                <w:sz w:val="20"/>
                <w:szCs w:val="20"/>
                <w:lang w:val="en-IE"/>
              </w:rPr>
            </w:pPr>
            <w:r w:rsidRPr="00406187">
              <w:rPr>
                <w:sz w:val="20"/>
                <w:szCs w:val="20"/>
                <w:lang w:val="en-IE"/>
              </w:rPr>
              <w:t xml:space="preserve">  Education</w:t>
            </w:r>
          </w:p>
        </w:tc>
        <w:tc>
          <w:tcPr>
            <w:tcW w:w="258" w:type="dxa"/>
          </w:tcPr>
          <w:p w14:paraId="30385CEC" w14:textId="77777777" w:rsidR="0042504F" w:rsidRPr="00406187" w:rsidRDefault="0042504F" w:rsidP="0063690F">
            <w:pPr>
              <w:rPr>
                <w:sz w:val="20"/>
                <w:szCs w:val="20"/>
                <w:lang w:val="en-IE"/>
              </w:rPr>
            </w:pPr>
          </w:p>
        </w:tc>
        <w:tc>
          <w:tcPr>
            <w:tcW w:w="888" w:type="dxa"/>
          </w:tcPr>
          <w:p w14:paraId="7D518BD1" w14:textId="77777777" w:rsidR="0042504F" w:rsidRPr="00406187" w:rsidRDefault="0042504F" w:rsidP="0063690F">
            <w:pPr>
              <w:rPr>
                <w:sz w:val="20"/>
                <w:szCs w:val="20"/>
                <w:lang w:val="en-IE"/>
              </w:rPr>
            </w:pPr>
          </w:p>
        </w:tc>
        <w:tc>
          <w:tcPr>
            <w:tcW w:w="989" w:type="dxa"/>
          </w:tcPr>
          <w:p w14:paraId="3C6DD912" w14:textId="77777777" w:rsidR="0042504F" w:rsidRPr="00406187" w:rsidRDefault="0042504F" w:rsidP="0063690F">
            <w:pPr>
              <w:rPr>
                <w:sz w:val="20"/>
                <w:szCs w:val="20"/>
                <w:lang w:val="en-IE"/>
              </w:rPr>
            </w:pPr>
          </w:p>
        </w:tc>
        <w:tc>
          <w:tcPr>
            <w:tcW w:w="887" w:type="dxa"/>
          </w:tcPr>
          <w:p w14:paraId="5D2D6306" w14:textId="77777777" w:rsidR="0042504F" w:rsidRPr="00406187" w:rsidRDefault="0042504F" w:rsidP="0063690F">
            <w:pPr>
              <w:rPr>
                <w:sz w:val="20"/>
                <w:szCs w:val="20"/>
                <w:lang w:val="en-IE"/>
              </w:rPr>
            </w:pPr>
          </w:p>
        </w:tc>
        <w:tc>
          <w:tcPr>
            <w:tcW w:w="989" w:type="dxa"/>
            <w:vAlign w:val="bottom"/>
          </w:tcPr>
          <w:p w14:paraId="313CD511" w14:textId="77777777" w:rsidR="0042504F" w:rsidRPr="00406187" w:rsidRDefault="0042504F" w:rsidP="0063690F">
            <w:pPr>
              <w:jc w:val="right"/>
              <w:rPr>
                <w:sz w:val="20"/>
                <w:szCs w:val="20"/>
                <w:lang w:val="en-IE"/>
              </w:rPr>
            </w:pPr>
            <w:r w:rsidRPr="00406187">
              <w:rPr>
                <w:sz w:val="20"/>
                <w:szCs w:val="20"/>
                <w:lang w:val="en-IE"/>
              </w:rPr>
              <w:t>0.749</w:t>
            </w:r>
          </w:p>
        </w:tc>
        <w:tc>
          <w:tcPr>
            <w:tcW w:w="887" w:type="dxa"/>
            <w:vAlign w:val="bottom"/>
          </w:tcPr>
          <w:p w14:paraId="05C6B8A2"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33A5CEF5" w14:textId="77777777" w:rsidR="0042504F" w:rsidRPr="00406187" w:rsidRDefault="0042504F" w:rsidP="0063690F">
            <w:pPr>
              <w:jc w:val="right"/>
              <w:rPr>
                <w:sz w:val="20"/>
                <w:szCs w:val="20"/>
                <w:lang w:val="en-IE"/>
              </w:rPr>
            </w:pPr>
            <w:r w:rsidRPr="00406187">
              <w:rPr>
                <w:sz w:val="20"/>
                <w:szCs w:val="20"/>
                <w:lang w:val="en-IE"/>
              </w:rPr>
              <w:t>0.840</w:t>
            </w:r>
          </w:p>
        </w:tc>
        <w:tc>
          <w:tcPr>
            <w:tcW w:w="887" w:type="dxa"/>
          </w:tcPr>
          <w:p w14:paraId="7B015801" w14:textId="77777777" w:rsidR="0042504F" w:rsidRPr="00406187" w:rsidRDefault="0042504F" w:rsidP="0063690F">
            <w:pPr>
              <w:rPr>
                <w:sz w:val="20"/>
                <w:szCs w:val="20"/>
                <w:lang w:val="en-IE"/>
              </w:rPr>
            </w:pPr>
          </w:p>
        </w:tc>
      </w:tr>
      <w:tr w:rsidR="00406187" w:rsidRPr="00406187" w14:paraId="2211B98D" w14:textId="77777777" w:rsidTr="00406187">
        <w:tc>
          <w:tcPr>
            <w:tcW w:w="2802" w:type="dxa"/>
            <w:vAlign w:val="bottom"/>
          </w:tcPr>
          <w:p w14:paraId="1B8DDE1E" w14:textId="77777777" w:rsidR="0042504F" w:rsidRPr="00406187" w:rsidRDefault="0042504F" w:rsidP="0063690F">
            <w:pPr>
              <w:rPr>
                <w:sz w:val="20"/>
                <w:szCs w:val="20"/>
                <w:lang w:val="en-IE"/>
              </w:rPr>
            </w:pPr>
            <w:r w:rsidRPr="00406187">
              <w:rPr>
                <w:sz w:val="20"/>
                <w:szCs w:val="20"/>
                <w:lang w:val="en-IE"/>
              </w:rPr>
              <w:t xml:space="preserve">  Engineering</w:t>
            </w:r>
          </w:p>
        </w:tc>
        <w:tc>
          <w:tcPr>
            <w:tcW w:w="258" w:type="dxa"/>
          </w:tcPr>
          <w:p w14:paraId="2C8EF5BF" w14:textId="77777777" w:rsidR="0042504F" w:rsidRPr="00406187" w:rsidRDefault="0042504F" w:rsidP="0063690F">
            <w:pPr>
              <w:rPr>
                <w:sz w:val="20"/>
                <w:szCs w:val="20"/>
                <w:lang w:val="en-IE"/>
              </w:rPr>
            </w:pPr>
          </w:p>
        </w:tc>
        <w:tc>
          <w:tcPr>
            <w:tcW w:w="888" w:type="dxa"/>
          </w:tcPr>
          <w:p w14:paraId="037679DB" w14:textId="77777777" w:rsidR="0042504F" w:rsidRPr="00406187" w:rsidRDefault="0042504F" w:rsidP="0063690F">
            <w:pPr>
              <w:rPr>
                <w:sz w:val="20"/>
                <w:szCs w:val="20"/>
                <w:lang w:val="en-IE"/>
              </w:rPr>
            </w:pPr>
          </w:p>
        </w:tc>
        <w:tc>
          <w:tcPr>
            <w:tcW w:w="989" w:type="dxa"/>
          </w:tcPr>
          <w:p w14:paraId="732D7563" w14:textId="77777777" w:rsidR="0042504F" w:rsidRPr="00406187" w:rsidRDefault="0042504F" w:rsidP="0063690F">
            <w:pPr>
              <w:rPr>
                <w:sz w:val="20"/>
                <w:szCs w:val="20"/>
                <w:lang w:val="en-IE"/>
              </w:rPr>
            </w:pPr>
          </w:p>
        </w:tc>
        <w:tc>
          <w:tcPr>
            <w:tcW w:w="887" w:type="dxa"/>
          </w:tcPr>
          <w:p w14:paraId="31FD44F6" w14:textId="77777777" w:rsidR="0042504F" w:rsidRPr="00406187" w:rsidRDefault="0042504F" w:rsidP="0063690F">
            <w:pPr>
              <w:rPr>
                <w:sz w:val="20"/>
                <w:szCs w:val="20"/>
                <w:lang w:val="en-IE"/>
              </w:rPr>
            </w:pPr>
          </w:p>
        </w:tc>
        <w:tc>
          <w:tcPr>
            <w:tcW w:w="989" w:type="dxa"/>
            <w:vAlign w:val="bottom"/>
          </w:tcPr>
          <w:p w14:paraId="5C4B5DB8" w14:textId="77777777" w:rsidR="0042504F" w:rsidRPr="00406187" w:rsidRDefault="0042504F" w:rsidP="0063690F">
            <w:pPr>
              <w:jc w:val="right"/>
              <w:rPr>
                <w:sz w:val="20"/>
                <w:szCs w:val="20"/>
                <w:lang w:val="en-IE"/>
              </w:rPr>
            </w:pPr>
            <w:r w:rsidRPr="00406187">
              <w:rPr>
                <w:sz w:val="20"/>
                <w:szCs w:val="20"/>
                <w:lang w:val="en-IE"/>
              </w:rPr>
              <w:t>1.357</w:t>
            </w:r>
          </w:p>
        </w:tc>
        <w:tc>
          <w:tcPr>
            <w:tcW w:w="887" w:type="dxa"/>
            <w:vAlign w:val="bottom"/>
          </w:tcPr>
          <w:p w14:paraId="52573934"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773A662A" w14:textId="77777777" w:rsidR="0042504F" w:rsidRPr="00406187" w:rsidRDefault="0042504F" w:rsidP="0063690F">
            <w:pPr>
              <w:jc w:val="right"/>
              <w:rPr>
                <w:sz w:val="20"/>
                <w:szCs w:val="20"/>
                <w:lang w:val="en-IE"/>
              </w:rPr>
            </w:pPr>
            <w:r w:rsidRPr="00406187">
              <w:rPr>
                <w:sz w:val="20"/>
                <w:szCs w:val="20"/>
                <w:lang w:val="en-IE"/>
              </w:rPr>
              <w:t>1.486</w:t>
            </w:r>
          </w:p>
        </w:tc>
        <w:tc>
          <w:tcPr>
            <w:tcW w:w="887" w:type="dxa"/>
            <w:vAlign w:val="bottom"/>
          </w:tcPr>
          <w:p w14:paraId="166E5724"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7493D0D9" w14:textId="77777777" w:rsidTr="00406187">
        <w:tc>
          <w:tcPr>
            <w:tcW w:w="2802" w:type="dxa"/>
            <w:vAlign w:val="bottom"/>
          </w:tcPr>
          <w:p w14:paraId="1D0815EA" w14:textId="77777777" w:rsidR="0042504F" w:rsidRPr="00406187" w:rsidRDefault="0042504F" w:rsidP="0063690F">
            <w:pPr>
              <w:rPr>
                <w:sz w:val="20"/>
                <w:szCs w:val="20"/>
                <w:lang w:val="en-IE"/>
              </w:rPr>
            </w:pPr>
            <w:r w:rsidRPr="00406187">
              <w:rPr>
                <w:sz w:val="20"/>
                <w:szCs w:val="20"/>
                <w:lang w:val="en-IE"/>
              </w:rPr>
              <w:t xml:space="preserve">  ICT</w:t>
            </w:r>
          </w:p>
        </w:tc>
        <w:tc>
          <w:tcPr>
            <w:tcW w:w="258" w:type="dxa"/>
          </w:tcPr>
          <w:p w14:paraId="5A3D749E" w14:textId="77777777" w:rsidR="0042504F" w:rsidRPr="00406187" w:rsidRDefault="0042504F" w:rsidP="0063690F">
            <w:pPr>
              <w:rPr>
                <w:sz w:val="20"/>
                <w:szCs w:val="20"/>
                <w:lang w:val="en-IE"/>
              </w:rPr>
            </w:pPr>
          </w:p>
        </w:tc>
        <w:tc>
          <w:tcPr>
            <w:tcW w:w="888" w:type="dxa"/>
          </w:tcPr>
          <w:p w14:paraId="02AFBD99" w14:textId="77777777" w:rsidR="0042504F" w:rsidRPr="00406187" w:rsidRDefault="0042504F" w:rsidP="0063690F">
            <w:pPr>
              <w:rPr>
                <w:sz w:val="20"/>
                <w:szCs w:val="20"/>
                <w:lang w:val="en-IE"/>
              </w:rPr>
            </w:pPr>
          </w:p>
        </w:tc>
        <w:tc>
          <w:tcPr>
            <w:tcW w:w="989" w:type="dxa"/>
          </w:tcPr>
          <w:p w14:paraId="2B095526" w14:textId="77777777" w:rsidR="0042504F" w:rsidRPr="00406187" w:rsidRDefault="0042504F" w:rsidP="0063690F">
            <w:pPr>
              <w:rPr>
                <w:sz w:val="20"/>
                <w:szCs w:val="20"/>
                <w:lang w:val="en-IE"/>
              </w:rPr>
            </w:pPr>
          </w:p>
        </w:tc>
        <w:tc>
          <w:tcPr>
            <w:tcW w:w="887" w:type="dxa"/>
          </w:tcPr>
          <w:p w14:paraId="20145FFC" w14:textId="77777777" w:rsidR="0042504F" w:rsidRPr="00406187" w:rsidRDefault="0042504F" w:rsidP="0063690F">
            <w:pPr>
              <w:rPr>
                <w:sz w:val="20"/>
                <w:szCs w:val="20"/>
                <w:lang w:val="en-IE"/>
              </w:rPr>
            </w:pPr>
          </w:p>
        </w:tc>
        <w:tc>
          <w:tcPr>
            <w:tcW w:w="989" w:type="dxa"/>
            <w:vAlign w:val="bottom"/>
          </w:tcPr>
          <w:p w14:paraId="48B31479" w14:textId="77777777" w:rsidR="0042504F" w:rsidRPr="00406187" w:rsidRDefault="0042504F" w:rsidP="0063690F">
            <w:pPr>
              <w:jc w:val="right"/>
              <w:rPr>
                <w:sz w:val="20"/>
                <w:szCs w:val="20"/>
                <w:lang w:val="en-IE"/>
              </w:rPr>
            </w:pPr>
            <w:r w:rsidRPr="00406187">
              <w:rPr>
                <w:sz w:val="20"/>
                <w:szCs w:val="20"/>
                <w:lang w:val="en-IE"/>
              </w:rPr>
              <w:t>1.098</w:t>
            </w:r>
          </w:p>
        </w:tc>
        <w:tc>
          <w:tcPr>
            <w:tcW w:w="887" w:type="dxa"/>
          </w:tcPr>
          <w:p w14:paraId="19253C34" w14:textId="77777777" w:rsidR="0042504F" w:rsidRPr="00406187" w:rsidRDefault="0042504F" w:rsidP="0063690F">
            <w:pPr>
              <w:rPr>
                <w:sz w:val="20"/>
                <w:szCs w:val="20"/>
                <w:lang w:val="en-IE"/>
              </w:rPr>
            </w:pPr>
          </w:p>
        </w:tc>
        <w:tc>
          <w:tcPr>
            <w:tcW w:w="989" w:type="dxa"/>
            <w:vAlign w:val="bottom"/>
          </w:tcPr>
          <w:p w14:paraId="44834CFD" w14:textId="77777777" w:rsidR="0042504F" w:rsidRPr="00406187" w:rsidRDefault="0042504F" w:rsidP="0063690F">
            <w:pPr>
              <w:jc w:val="right"/>
              <w:rPr>
                <w:sz w:val="20"/>
                <w:szCs w:val="20"/>
                <w:lang w:val="en-IE"/>
              </w:rPr>
            </w:pPr>
            <w:r w:rsidRPr="00406187">
              <w:rPr>
                <w:sz w:val="20"/>
                <w:szCs w:val="20"/>
                <w:lang w:val="en-IE"/>
              </w:rPr>
              <w:t>1.054</w:t>
            </w:r>
          </w:p>
        </w:tc>
        <w:tc>
          <w:tcPr>
            <w:tcW w:w="887" w:type="dxa"/>
          </w:tcPr>
          <w:p w14:paraId="7C2D654A" w14:textId="77777777" w:rsidR="0042504F" w:rsidRPr="00406187" w:rsidRDefault="0042504F" w:rsidP="0063690F">
            <w:pPr>
              <w:rPr>
                <w:sz w:val="20"/>
                <w:szCs w:val="20"/>
                <w:lang w:val="en-IE"/>
              </w:rPr>
            </w:pPr>
          </w:p>
        </w:tc>
      </w:tr>
      <w:tr w:rsidR="00406187" w:rsidRPr="00406187" w14:paraId="6421197A" w14:textId="77777777" w:rsidTr="00406187">
        <w:tc>
          <w:tcPr>
            <w:tcW w:w="2802" w:type="dxa"/>
            <w:vAlign w:val="bottom"/>
          </w:tcPr>
          <w:p w14:paraId="65C01688" w14:textId="77777777" w:rsidR="0042504F" w:rsidRPr="00406187" w:rsidRDefault="0042504F" w:rsidP="0063690F">
            <w:pPr>
              <w:rPr>
                <w:sz w:val="20"/>
                <w:szCs w:val="20"/>
                <w:lang w:val="en-IE"/>
              </w:rPr>
            </w:pPr>
            <w:r w:rsidRPr="00406187">
              <w:rPr>
                <w:sz w:val="20"/>
                <w:szCs w:val="20"/>
                <w:lang w:val="en-IE"/>
              </w:rPr>
              <w:t xml:space="preserve">  Natural Sciences</w:t>
            </w:r>
          </w:p>
        </w:tc>
        <w:tc>
          <w:tcPr>
            <w:tcW w:w="258" w:type="dxa"/>
          </w:tcPr>
          <w:p w14:paraId="152D496F" w14:textId="77777777" w:rsidR="0042504F" w:rsidRPr="00406187" w:rsidRDefault="0042504F" w:rsidP="0063690F">
            <w:pPr>
              <w:rPr>
                <w:sz w:val="20"/>
                <w:szCs w:val="20"/>
                <w:lang w:val="en-IE"/>
              </w:rPr>
            </w:pPr>
          </w:p>
        </w:tc>
        <w:tc>
          <w:tcPr>
            <w:tcW w:w="888" w:type="dxa"/>
          </w:tcPr>
          <w:p w14:paraId="0566DBA1" w14:textId="77777777" w:rsidR="0042504F" w:rsidRPr="00406187" w:rsidRDefault="0042504F" w:rsidP="0063690F">
            <w:pPr>
              <w:rPr>
                <w:sz w:val="20"/>
                <w:szCs w:val="20"/>
                <w:lang w:val="en-IE"/>
              </w:rPr>
            </w:pPr>
          </w:p>
        </w:tc>
        <w:tc>
          <w:tcPr>
            <w:tcW w:w="989" w:type="dxa"/>
          </w:tcPr>
          <w:p w14:paraId="56045AB9" w14:textId="77777777" w:rsidR="0042504F" w:rsidRPr="00406187" w:rsidRDefault="0042504F" w:rsidP="0063690F">
            <w:pPr>
              <w:rPr>
                <w:sz w:val="20"/>
                <w:szCs w:val="20"/>
                <w:lang w:val="en-IE"/>
              </w:rPr>
            </w:pPr>
          </w:p>
        </w:tc>
        <w:tc>
          <w:tcPr>
            <w:tcW w:w="887" w:type="dxa"/>
          </w:tcPr>
          <w:p w14:paraId="00193DA2" w14:textId="77777777" w:rsidR="0042504F" w:rsidRPr="00406187" w:rsidRDefault="0042504F" w:rsidP="0063690F">
            <w:pPr>
              <w:rPr>
                <w:sz w:val="20"/>
                <w:szCs w:val="20"/>
                <w:lang w:val="en-IE"/>
              </w:rPr>
            </w:pPr>
          </w:p>
        </w:tc>
        <w:tc>
          <w:tcPr>
            <w:tcW w:w="989" w:type="dxa"/>
            <w:vAlign w:val="bottom"/>
          </w:tcPr>
          <w:p w14:paraId="635E1BD5" w14:textId="77777777" w:rsidR="0042504F" w:rsidRPr="00406187" w:rsidRDefault="0042504F" w:rsidP="0063690F">
            <w:pPr>
              <w:jc w:val="right"/>
              <w:rPr>
                <w:sz w:val="20"/>
                <w:szCs w:val="20"/>
                <w:lang w:val="en-IE"/>
              </w:rPr>
            </w:pPr>
            <w:r w:rsidRPr="00406187">
              <w:rPr>
                <w:sz w:val="20"/>
                <w:szCs w:val="20"/>
                <w:lang w:val="en-IE"/>
              </w:rPr>
              <w:t>1.203</w:t>
            </w:r>
          </w:p>
        </w:tc>
        <w:tc>
          <w:tcPr>
            <w:tcW w:w="887" w:type="dxa"/>
            <w:vAlign w:val="bottom"/>
          </w:tcPr>
          <w:p w14:paraId="2C5EAC1F"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46FDFE66" w14:textId="77777777" w:rsidR="0042504F" w:rsidRPr="00406187" w:rsidRDefault="0042504F" w:rsidP="0063690F">
            <w:pPr>
              <w:jc w:val="right"/>
              <w:rPr>
                <w:sz w:val="20"/>
                <w:szCs w:val="20"/>
                <w:lang w:val="en-IE"/>
              </w:rPr>
            </w:pPr>
            <w:r w:rsidRPr="00406187">
              <w:rPr>
                <w:sz w:val="20"/>
                <w:szCs w:val="20"/>
                <w:lang w:val="en-IE"/>
              </w:rPr>
              <w:t>1.469</w:t>
            </w:r>
          </w:p>
        </w:tc>
        <w:tc>
          <w:tcPr>
            <w:tcW w:w="887" w:type="dxa"/>
            <w:vAlign w:val="bottom"/>
          </w:tcPr>
          <w:p w14:paraId="1915606E"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10F252E3" w14:textId="77777777" w:rsidTr="00406187">
        <w:tc>
          <w:tcPr>
            <w:tcW w:w="2802" w:type="dxa"/>
            <w:vAlign w:val="bottom"/>
          </w:tcPr>
          <w:p w14:paraId="64DB3C07" w14:textId="77777777" w:rsidR="0042504F" w:rsidRPr="00406187" w:rsidRDefault="0042504F" w:rsidP="0063690F">
            <w:pPr>
              <w:rPr>
                <w:sz w:val="20"/>
                <w:szCs w:val="20"/>
                <w:lang w:val="en-IE"/>
              </w:rPr>
            </w:pPr>
            <w:r w:rsidRPr="00406187">
              <w:rPr>
                <w:sz w:val="20"/>
                <w:szCs w:val="20"/>
                <w:lang w:val="en-IE"/>
              </w:rPr>
              <w:t xml:space="preserve">  Services</w:t>
            </w:r>
          </w:p>
        </w:tc>
        <w:tc>
          <w:tcPr>
            <w:tcW w:w="258" w:type="dxa"/>
          </w:tcPr>
          <w:p w14:paraId="499AC929" w14:textId="77777777" w:rsidR="0042504F" w:rsidRPr="00406187" w:rsidRDefault="0042504F" w:rsidP="0063690F">
            <w:pPr>
              <w:rPr>
                <w:sz w:val="20"/>
                <w:szCs w:val="20"/>
                <w:lang w:val="en-IE"/>
              </w:rPr>
            </w:pPr>
          </w:p>
        </w:tc>
        <w:tc>
          <w:tcPr>
            <w:tcW w:w="888" w:type="dxa"/>
          </w:tcPr>
          <w:p w14:paraId="522403F5" w14:textId="77777777" w:rsidR="0042504F" w:rsidRPr="00406187" w:rsidRDefault="0042504F" w:rsidP="0063690F">
            <w:pPr>
              <w:rPr>
                <w:sz w:val="20"/>
                <w:szCs w:val="20"/>
                <w:lang w:val="en-IE"/>
              </w:rPr>
            </w:pPr>
          </w:p>
        </w:tc>
        <w:tc>
          <w:tcPr>
            <w:tcW w:w="989" w:type="dxa"/>
          </w:tcPr>
          <w:p w14:paraId="4AB8B495" w14:textId="77777777" w:rsidR="0042504F" w:rsidRPr="00406187" w:rsidRDefault="0042504F" w:rsidP="0063690F">
            <w:pPr>
              <w:rPr>
                <w:sz w:val="20"/>
                <w:szCs w:val="20"/>
                <w:lang w:val="en-IE"/>
              </w:rPr>
            </w:pPr>
          </w:p>
        </w:tc>
        <w:tc>
          <w:tcPr>
            <w:tcW w:w="887" w:type="dxa"/>
          </w:tcPr>
          <w:p w14:paraId="2AF48528" w14:textId="77777777" w:rsidR="0042504F" w:rsidRPr="00406187" w:rsidRDefault="0042504F" w:rsidP="0063690F">
            <w:pPr>
              <w:rPr>
                <w:sz w:val="20"/>
                <w:szCs w:val="20"/>
                <w:lang w:val="en-IE"/>
              </w:rPr>
            </w:pPr>
          </w:p>
        </w:tc>
        <w:tc>
          <w:tcPr>
            <w:tcW w:w="989" w:type="dxa"/>
            <w:vAlign w:val="bottom"/>
          </w:tcPr>
          <w:p w14:paraId="01A51EE2" w14:textId="77777777" w:rsidR="0042504F" w:rsidRPr="00406187" w:rsidRDefault="0042504F" w:rsidP="0063690F">
            <w:pPr>
              <w:jc w:val="right"/>
              <w:rPr>
                <w:sz w:val="20"/>
                <w:szCs w:val="20"/>
                <w:lang w:val="en-IE"/>
              </w:rPr>
            </w:pPr>
            <w:r w:rsidRPr="00406187">
              <w:rPr>
                <w:sz w:val="20"/>
                <w:szCs w:val="20"/>
                <w:lang w:val="en-IE"/>
              </w:rPr>
              <w:t>1.602</w:t>
            </w:r>
          </w:p>
        </w:tc>
        <w:tc>
          <w:tcPr>
            <w:tcW w:w="887" w:type="dxa"/>
            <w:vAlign w:val="bottom"/>
          </w:tcPr>
          <w:p w14:paraId="369E854A"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7A6C42C5" w14:textId="77777777" w:rsidR="0042504F" w:rsidRPr="00406187" w:rsidRDefault="0042504F" w:rsidP="0063690F">
            <w:pPr>
              <w:jc w:val="right"/>
              <w:rPr>
                <w:sz w:val="20"/>
                <w:szCs w:val="20"/>
                <w:lang w:val="en-IE"/>
              </w:rPr>
            </w:pPr>
            <w:r w:rsidRPr="00406187">
              <w:rPr>
                <w:sz w:val="20"/>
                <w:szCs w:val="20"/>
                <w:lang w:val="en-IE"/>
              </w:rPr>
              <w:t>1.377</w:t>
            </w:r>
          </w:p>
        </w:tc>
        <w:tc>
          <w:tcPr>
            <w:tcW w:w="887" w:type="dxa"/>
            <w:vAlign w:val="bottom"/>
          </w:tcPr>
          <w:p w14:paraId="264A7189"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777A188C" w14:textId="77777777" w:rsidTr="00406187">
        <w:tc>
          <w:tcPr>
            <w:tcW w:w="2802" w:type="dxa"/>
            <w:vAlign w:val="bottom"/>
          </w:tcPr>
          <w:p w14:paraId="3B629832" w14:textId="77777777" w:rsidR="0042504F" w:rsidRPr="00406187" w:rsidRDefault="0042504F" w:rsidP="0063690F">
            <w:pPr>
              <w:rPr>
                <w:sz w:val="20"/>
                <w:szCs w:val="20"/>
                <w:lang w:val="en-IE"/>
              </w:rPr>
            </w:pPr>
            <w:r w:rsidRPr="00406187">
              <w:rPr>
                <w:sz w:val="20"/>
                <w:szCs w:val="20"/>
                <w:lang w:val="en-IE"/>
              </w:rPr>
              <w:t xml:space="preserve">  Social Sciences</w:t>
            </w:r>
          </w:p>
        </w:tc>
        <w:tc>
          <w:tcPr>
            <w:tcW w:w="258" w:type="dxa"/>
          </w:tcPr>
          <w:p w14:paraId="507585D0" w14:textId="77777777" w:rsidR="0042504F" w:rsidRPr="00406187" w:rsidRDefault="0042504F" w:rsidP="0063690F">
            <w:pPr>
              <w:rPr>
                <w:sz w:val="20"/>
                <w:szCs w:val="20"/>
                <w:lang w:val="en-IE"/>
              </w:rPr>
            </w:pPr>
          </w:p>
        </w:tc>
        <w:tc>
          <w:tcPr>
            <w:tcW w:w="888" w:type="dxa"/>
          </w:tcPr>
          <w:p w14:paraId="479B59A0" w14:textId="77777777" w:rsidR="0042504F" w:rsidRPr="00406187" w:rsidRDefault="0042504F" w:rsidP="0063690F">
            <w:pPr>
              <w:rPr>
                <w:sz w:val="20"/>
                <w:szCs w:val="20"/>
                <w:lang w:val="en-IE"/>
              </w:rPr>
            </w:pPr>
          </w:p>
        </w:tc>
        <w:tc>
          <w:tcPr>
            <w:tcW w:w="989" w:type="dxa"/>
          </w:tcPr>
          <w:p w14:paraId="2DCA1988" w14:textId="77777777" w:rsidR="0042504F" w:rsidRPr="00406187" w:rsidRDefault="0042504F" w:rsidP="0063690F">
            <w:pPr>
              <w:rPr>
                <w:sz w:val="20"/>
                <w:szCs w:val="20"/>
                <w:lang w:val="en-IE"/>
              </w:rPr>
            </w:pPr>
          </w:p>
        </w:tc>
        <w:tc>
          <w:tcPr>
            <w:tcW w:w="887" w:type="dxa"/>
          </w:tcPr>
          <w:p w14:paraId="3D42380B" w14:textId="77777777" w:rsidR="0042504F" w:rsidRPr="00406187" w:rsidRDefault="0042504F" w:rsidP="0063690F">
            <w:pPr>
              <w:rPr>
                <w:sz w:val="20"/>
                <w:szCs w:val="20"/>
                <w:lang w:val="en-IE"/>
              </w:rPr>
            </w:pPr>
          </w:p>
        </w:tc>
        <w:tc>
          <w:tcPr>
            <w:tcW w:w="989" w:type="dxa"/>
            <w:vAlign w:val="bottom"/>
          </w:tcPr>
          <w:p w14:paraId="306CDC55" w14:textId="77777777" w:rsidR="0042504F" w:rsidRPr="00406187" w:rsidRDefault="0042504F" w:rsidP="0063690F">
            <w:pPr>
              <w:jc w:val="right"/>
              <w:rPr>
                <w:sz w:val="20"/>
                <w:szCs w:val="20"/>
                <w:lang w:val="en-IE"/>
              </w:rPr>
            </w:pPr>
            <w:r w:rsidRPr="00406187">
              <w:rPr>
                <w:sz w:val="20"/>
                <w:szCs w:val="20"/>
                <w:lang w:val="en-IE"/>
              </w:rPr>
              <w:t>1.334</w:t>
            </w:r>
          </w:p>
        </w:tc>
        <w:tc>
          <w:tcPr>
            <w:tcW w:w="887" w:type="dxa"/>
            <w:vAlign w:val="bottom"/>
          </w:tcPr>
          <w:p w14:paraId="5B4D76A7"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45CDD356" w14:textId="77777777" w:rsidR="0042504F" w:rsidRPr="00406187" w:rsidRDefault="0042504F" w:rsidP="0063690F">
            <w:pPr>
              <w:jc w:val="right"/>
              <w:rPr>
                <w:sz w:val="20"/>
                <w:szCs w:val="20"/>
                <w:lang w:val="en-IE"/>
              </w:rPr>
            </w:pPr>
            <w:r w:rsidRPr="00406187">
              <w:rPr>
                <w:sz w:val="20"/>
                <w:szCs w:val="20"/>
                <w:lang w:val="en-IE"/>
              </w:rPr>
              <w:t>1.318</w:t>
            </w:r>
          </w:p>
        </w:tc>
        <w:tc>
          <w:tcPr>
            <w:tcW w:w="887" w:type="dxa"/>
            <w:vAlign w:val="bottom"/>
          </w:tcPr>
          <w:p w14:paraId="04316EF3"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6DA083DB" w14:textId="77777777" w:rsidTr="00406187">
        <w:tc>
          <w:tcPr>
            <w:tcW w:w="2802" w:type="dxa"/>
            <w:vAlign w:val="bottom"/>
          </w:tcPr>
          <w:p w14:paraId="220C9C83" w14:textId="77777777" w:rsidR="0042504F" w:rsidRPr="00406187" w:rsidRDefault="0042504F" w:rsidP="0063690F">
            <w:pPr>
              <w:rPr>
                <w:sz w:val="20"/>
                <w:szCs w:val="20"/>
                <w:lang w:val="en-IE"/>
              </w:rPr>
            </w:pPr>
            <w:r w:rsidRPr="00406187">
              <w:rPr>
                <w:sz w:val="20"/>
                <w:szCs w:val="20"/>
                <w:lang w:val="en-IE"/>
              </w:rPr>
              <w:t>Entry Basis</w:t>
            </w:r>
          </w:p>
        </w:tc>
        <w:tc>
          <w:tcPr>
            <w:tcW w:w="258" w:type="dxa"/>
          </w:tcPr>
          <w:p w14:paraId="58DD058F" w14:textId="77777777" w:rsidR="0042504F" w:rsidRPr="00406187" w:rsidRDefault="0042504F" w:rsidP="0063690F">
            <w:pPr>
              <w:rPr>
                <w:sz w:val="20"/>
                <w:szCs w:val="20"/>
                <w:lang w:val="en-IE"/>
              </w:rPr>
            </w:pPr>
          </w:p>
        </w:tc>
        <w:tc>
          <w:tcPr>
            <w:tcW w:w="888" w:type="dxa"/>
          </w:tcPr>
          <w:p w14:paraId="322B3317" w14:textId="77777777" w:rsidR="0042504F" w:rsidRPr="00406187" w:rsidRDefault="0042504F" w:rsidP="0063690F">
            <w:pPr>
              <w:rPr>
                <w:sz w:val="20"/>
                <w:szCs w:val="20"/>
                <w:lang w:val="en-IE"/>
              </w:rPr>
            </w:pPr>
          </w:p>
        </w:tc>
        <w:tc>
          <w:tcPr>
            <w:tcW w:w="989" w:type="dxa"/>
          </w:tcPr>
          <w:p w14:paraId="3E53C1A9" w14:textId="77777777" w:rsidR="0042504F" w:rsidRPr="00406187" w:rsidRDefault="0042504F" w:rsidP="0063690F">
            <w:pPr>
              <w:rPr>
                <w:sz w:val="20"/>
                <w:szCs w:val="20"/>
                <w:lang w:val="en-IE"/>
              </w:rPr>
            </w:pPr>
          </w:p>
        </w:tc>
        <w:tc>
          <w:tcPr>
            <w:tcW w:w="887" w:type="dxa"/>
          </w:tcPr>
          <w:p w14:paraId="2E395519" w14:textId="77777777" w:rsidR="0042504F" w:rsidRPr="00406187" w:rsidRDefault="0042504F" w:rsidP="0063690F">
            <w:pPr>
              <w:rPr>
                <w:sz w:val="20"/>
                <w:szCs w:val="20"/>
                <w:lang w:val="en-IE"/>
              </w:rPr>
            </w:pPr>
          </w:p>
        </w:tc>
        <w:tc>
          <w:tcPr>
            <w:tcW w:w="989" w:type="dxa"/>
          </w:tcPr>
          <w:p w14:paraId="68827EB7" w14:textId="77777777" w:rsidR="0042504F" w:rsidRPr="00406187" w:rsidRDefault="0042504F" w:rsidP="0063690F">
            <w:pPr>
              <w:rPr>
                <w:sz w:val="20"/>
                <w:szCs w:val="20"/>
                <w:lang w:val="en-IE"/>
              </w:rPr>
            </w:pPr>
          </w:p>
        </w:tc>
        <w:tc>
          <w:tcPr>
            <w:tcW w:w="887" w:type="dxa"/>
          </w:tcPr>
          <w:p w14:paraId="71441C20" w14:textId="77777777" w:rsidR="0042504F" w:rsidRPr="00406187" w:rsidRDefault="0042504F" w:rsidP="0063690F">
            <w:pPr>
              <w:rPr>
                <w:sz w:val="20"/>
                <w:szCs w:val="20"/>
                <w:lang w:val="en-IE"/>
              </w:rPr>
            </w:pPr>
          </w:p>
        </w:tc>
        <w:tc>
          <w:tcPr>
            <w:tcW w:w="989" w:type="dxa"/>
          </w:tcPr>
          <w:p w14:paraId="5CF7FC2C" w14:textId="77777777" w:rsidR="0042504F" w:rsidRPr="00406187" w:rsidRDefault="0042504F" w:rsidP="0063690F">
            <w:pPr>
              <w:rPr>
                <w:sz w:val="20"/>
                <w:szCs w:val="20"/>
                <w:lang w:val="en-IE"/>
              </w:rPr>
            </w:pPr>
          </w:p>
        </w:tc>
        <w:tc>
          <w:tcPr>
            <w:tcW w:w="887" w:type="dxa"/>
          </w:tcPr>
          <w:p w14:paraId="30920A43" w14:textId="77777777" w:rsidR="0042504F" w:rsidRPr="00406187" w:rsidRDefault="0042504F" w:rsidP="0063690F">
            <w:pPr>
              <w:rPr>
                <w:sz w:val="20"/>
                <w:szCs w:val="20"/>
                <w:lang w:val="en-IE"/>
              </w:rPr>
            </w:pPr>
          </w:p>
        </w:tc>
      </w:tr>
      <w:tr w:rsidR="00406187" w:rsidRPr="00406187" w14:paraId="194D1C50" w14:textId="77777777" w:rsidTr="00406187">
        <w:tc>
          <w:tcPr>
            <w:tcW w:w="2802" w:type="dxa"/>
            <w:vAlign w:val="bottom"/>
          </w:tcPr>
          <w:p w14:paraId="41EF4864" w14:textId="77777777" w:rsidR="0042504F" w:rsidRPr="00406187" w:rsidRDefault="0042504F" w:rsidP="0063690F">
            <w:pPr>
              <w:rPr>
                <w:sz w:val="20"/>
                <w:szCs w:val="20"/>
                <w:lang w:val="en-IE"/>
              </w:rPr>
            </w:pPr>
            <w:r w:rsidRPr="00406187">
              <w:rPr>
                <w:sz w:val="20"/>
                <w:szCs w:val="20"/>
                <w:lang w:val="en-IE"/>
              </w:rPr>
              <w:t xml:space="preserve">  Access/Foundation </w:t>
            </w:r>
          </w:p>
        </w:tc>
        <w:tc>
          <w:tcPr>
            <w:tcW w:w="258" w:type="dxa"/>
          </w:tcPr>
          <w:p w14:paraId="13B90A75" w14:textId="77777777" w:rsidR="0042504F" w:rsidRPr="00406187" w:rsidRDefault="0042504F" w:rsidP="0063690F">
            <w:pPr>
              <w:rPr>
                <w:sz w:val="20"/>
                <w:szCs w:val="20"/>
                <w:lang w:val="en-IE"/>
              </w:rPr>
            </w:pPr>
          </w:p>
        </w:tc>
        <w:tc>
          <w:tcPr>
            <w:tcW w:w="888" w:type="dxa"/>
          </w:tcPr>
          <w:p w14:paraId="3CD2F416" w14:textId="77777777" w:rsidR="0042504F" w:rsidRPr="00406187" w:rsidRDefault="0042504F" w:rsidP="0063690F">
            <w:pPr>
              <w:rPr>
                <w:sz w:val="20"/>
                <w:szCs w:val="20"/>
                <w:lang w:val="en-IE"/>
              </w:rPr>
            </w:pPr>
          </w:p>
        </w:tc>
        <w:tc>
          <w:tcPr>
            <w:tcW w:w="989" w:type="dxa"/>
          </w:tcPr>
          <w:p w14:paraId="03EAB1B5" w14:textId="77777777" w:rsidR="0042504F" w:rsidRPr="00406187" w:rsidRDefault="0042504F" w:rsidP="0063690F">
            <w:pPr>
              <w:rPr>
                <w:sz w:val="20"/>
                <w:szCs w:val="20"/>
                <w:lang w:val="en-IE"/>
              </w:rPr>
            </w:pPr>
          </w:p>
        </w:tc>
        <w:tc>
          <w:tcPr>
            <w:tcW w:w="887" w:type="dxa"/>
          </w:tcPr>
          <w:p w14:paraId="5DB02BB1" w14:textId="77777777" w:rsidR="0042504F" w:rsidRPr="00406187" w:rsidRDefault="0042504F" w:rsidP="0063690F">
            <w:pPr>
              <w:rPr>
                <w:sz w:val="20"/>
                <w:szCs w:val="20"/>
                <w:lang w:val="en-IE"/>
              </w:rPr>
            </w:pPr>
          </w:p>
        </w:tc>
        <w:tc>
          <w:tcPr>
            <w:tcW w:w="989" w:type="dxa"/>
            <w:vAlign w:val="bottom"/>
          </w:tcPr>
          <w:p w14:paraId="4A891551" w14:textId="77777777" w:rsidR="0042504F" w:rsidRPr="00406187" w:rsidRDefault="0042504F" w:rsidP="0063690F">
            <w:pPr>
              <w:jc w:val="right"/>
              <w:rPr>
                <w:sz w:val="20"/>
                <w:szCs w:val="20"/>
                <w:lang w:val="en-IE"/>
              </w:rPr>
            </w:pPr>
            <w:r w:rsidRPr="00406187">
              <w:rPr>
                <w:sz w:val="20"/>
                <w:szCs w:val="20"/>
                <w:lang w:val="en-IE"/>
              </w:rPr>
              <w:t>0.937</w:t>
            </w:r>
          </w:p>
        </w:tc>
        <w:tc>
          <w:tcPr>
            <w:tcW w:w="887" w:type="dxa"/>
          </w:tcPr>
          <w:p w14:paraId="0803B379" w14:textId="77777777" w:rsidR="0042504F" w:rsidRPr="00406187" w:rsidRDefault="0042504F" w:rsidP="0063690F">
            <w:pPr>
              <w:rPr>
                <w:sz w:val="20"/>
                <w:szCs w:val="20"/>
                <w:lang w:val="en-IE"/>
              </w:rPr>
            </w:pPr>
          </w:p>
        </w:tc>
        <w:tc>
          <w:tcPr>
            <w:tcW w:w="989" w:type="dxa"/>
            <w:vAlign w:val="bottom"/>
          </w:tcPr>
          <w:p w14:paraId="1108E3C7" w14:textId="77777777" w:rsidR="0042504F" w:rsidRPr="00406187" w:rsidRDefault="0042504F" w:rsidP="0063690F">
            <w:pPr>
              <w:jc w:val="right"/>
              <w:rPr>
                <w:sz w:val="20"/>
                <w:szCs w:val="20"/>
                <w:lang w:val="en-IE"/>
              </w:rPr>
            </w:pPr>
            <w:r w:rsidRPr="00406187">
              <w:rPr>
                <w:sz w:val="20"/>
                <w:szCs w:val="20"/>
                <w:lang w:val="en-IE"/>
              </w:rPr>
              <w:t>0.647</w:t>
            </w:r>
          </w:p>
        </w:tc>
        <w:tc>
          <w:tcPr>
            <w:tcW w:w="887" w:type="dxa"/>
            <w:vAlign w:val="bottom"/>
          </w:tcPr>
          <w:p w14:paraId="1D171353"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68446744" w14:textId="77777777" w:rsidTr="00406187">
        <w:tc>
          <w:tcPr>
            <w:tcW w:w="2802" w:type="dxa"/>
            <w:vAlign w:val="bottom"/>
          </w:tcPr>
          <w:p w14:paraId="3E43F5A4" w14:textId="77777777" w:rsidR="0042504F" w:rsidRPr="00406187" w:rsidRDefault="0042504F" w:rsidP="0063690F">
            <w:pPr>
              <w:rPr>
                <w:sz w:val="20"/>
                <w:szCs w:val="20"/>
                <w:lang w:val="en-IE"/>
              </w:rPr>
            </w:pPr>
            <w:r w:rsidRPr="00406187">
              <w:rPr>
                <w:sz w:val="20"/>
                <w:szCs w:val="20"/>
                <w:lang w:val="en-IE"/>
              </w:rPr>
              <w:t xml:space="preserve">  DARE</w:t>
            </w:r>
          </w:p>
        </w:tc>
        <w:tc>
          <w:tcPr>
            <w:tcW w:w="258" w:type="dxa"/>
          </w:tcPr>
          <w:p w14:paraId="5033607B" w14:textId="77777777" w:rsidR="0042504F" w:rsidRPr="00406187" w:rsidRDefault="0042504F" w:rsidP="0063690F">
            <w:pPr>
              <w:rPr>
                <w:sz w:val="20"/>
                <w:szCs w:val="20"/>
                <w:lang w:val="en-IE"/>
              </w:rPr>
            </w:pPr>
          </w:p>
        </w:tc>
        <w:tc>
          <w:tcPr>
            <w:tcW w:w="888" w:type="dxa"/>
          </w:tcPr>
          <w:p w14:paraId="5E092899" w14:textId="77777777" w:rsidR="0042504F" w:rsidRPr="00406187" w:rsidRDefault="0042504F" w:rsidP="0063690F">
            <w:pPr>
              <w:rPr>
                <w:sz w:val="20"/>
                <w:szCs w:val="20"/>
                <w:lang w:val="en-IE"/>
              </w:rPr>
            </w:pPr>
          </w:p>
        </w:tc>
        <w:tc>
          <w:tcPr>
            <w:tcW w:w="989" w:type="dxa"/>
          </w:tcPr>
          <w:p w14:paraId="20674E39" w14:textId="77777777" w:rsidR="0042504F" w:rsidRPr="00406187" w:rsidRDefault="0042504F" w:rsidP="0063690F">
            <w:pPr>
              <w:rPr>
                <w:sz w:val="20"/>
                <w:szCs w:val="20"/>
                <w:lang w:val="en-IE"/>
              </w:rPr>
            </w:pPr>
          </w:p>
        </w:tc>
        <w:tc>
          <w:tcPr>
            <w:tcW w:w="887" w:type="dxa"/>
          </w:tcPr>
          <w:p w14:paraId="3630B5FA" w14:textId="77777777" w:rsidR="0042504F" w:rsidRPr="00406187" w:rsidRDefault="0042504F" w:rsidP="0063690F">
            <w:pPr>
              <w:rPr>
                <w:sz w:val="20"/>
                <w:szCs w:val="20"/>
                <w:lang w:val="en-IE"/>
              </w:rPr>
            </w:pPr>
          </w:p>
        </w:tc>
        <w:tc>
          <w:tcPr>
            <w:tcW w:w="989" w:type="dxa"/>
            <w:vAlign w:val="bottom"/>
          </w:tcPr>
          <w:p w14:paraId="05C2066D" w14:textId="77777777" w:rsidR="0042504F" w:rsidRPr="00406187" w:rsidRDefault="0042504F" w:rsidP="0063690F">
            <w:pPr>
              <w:jc w:val="right"/>
              <w:rPr>
                <w:sz w:val="20"/>
                <w:szCs w:val="20"/>
                <w:lang w:val="en-IE"/>
              </w:rPr>
            </w:pPr>
            <w:r w:rsidRPr="00406187">
              <w:rPr>
                <w:sz w:val="20"/>
                <w:szCs w:val="20"/>
                <w:lang w:val="en-IE"/>
              </w:rPr>
              <w:t>1.079</w:t>
            </w:r>
          </w:p>
        </w:tc>
        <w:tc>
          <w:tcPr>
            <w:tcW w:w="887" w:type="dxa"/>
          </w:tcPr>
          <w:p w14:paraId="7F7D2576" w14:textId="77777777" w:rsidR="0042504F" w:rsidRPr="00406187" w:rsidRDefault="0042504F" w:rsidP="0063690F">
            <w:pPr>
              <w:rPr>
                <w:sz w:val="20"/>
                <w:szCs w:val="20"/>
                <w:lang w:val="en-IE"/>
              </w:rPr>
            </w:pPr>
          </w:p>
        </w:tc>
        <w:tc>
          <w:tcPr>
            <w:tcW w:w="989" w:type="dxa"/>
            <w:vAlign w:val="bottom"/>
          </w:tcPr>
          <w:p w14:paraId="7F1323F6" w14:textId="77777777" w:rsidR="0042504F" w:rsidRPr="00406187" w:rsidRDefault="0042504F" w:rsidP="0063690F">
            <w:pPr>
              <w:jc w:val="right"/>
              <w:rPr>
                <w:sz w:val="20"/>
                <w:szCs w:val="20"/>
                <w:lang w:val="en-IE"/>
              </w:rPr>
            </w:pPr>
            <w:r w:rsidRPr="00406187">
              <w:rPr>
                <w:sz w:val="20"/>
                <w:szCs w:val="20"/>
                <w:lang w:val="en-IE"/>
              </w:rPr>
              <w:t>0.875</w:t>
            </w:r>
          </w:p>
        </w:tc>
        <w:tc>
          <w:tcPr>
            <w:tcW w:w="887" w:type="dxa"/>
            <w:vAlign w:val="bottom"/>
          </w:tcPr>
          <w:p w14:paraId="1C579D90"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54B62845" w14:textId="77777777" w:rsidTr="00406187">
        <w:tc>
          <w:tcPr>
            <w:tcW w:w="2802" w:type="dxa"/>
            <w:vAlign w:val="bottom"/>
          </w:tcPr>
          <w:p w14:paraId="233A8042" w14:textId="77777777" w:rsidR="0042504F" w:rsidRPr="00406187" w:rsidRDefault="0042504F" w:rsidP="0063690F">
            <w:pPr>
              <w:rPr>
                <w:sz w:val="20"/>
                <w:szCs w:val="20"/>
                <w:lang w:val="en-IE"/>
              </w:rPr>
            </w:pPr>
            <w:r w:rsidRPr="00406187">
              <w:rPr>
                <w:sz w:val="20"/>
                <w:szCs w:val="20"/>
                <w:lang w:val="en-IE"/>
              </w:rPr>
              <w:t xml:space="preserve">  Direct Entry</w:t>
            </w:r>
          </w:p>
        </w:tc>
        <w:tc>
          <w:tcPr>
            <w:tcW w:w="258" w:type="dxa"/>
          </w:tcPr>
          <w:p w14:paraId="165734AD" w14:textId="77777777" w:rsidR="0042504F" w:rsidRPr="00406187" w:rsidRDefault="0042504F" w:rsidP="0063690F">
            <w:pPr>
              <w:rPr>
                <w:sz w:val="20"/>
                <w:szCs w:val="20"/>
                <w:lang w:val="en-IE"/>
              </w:rPr>
            </w:pPr>
          </w:p>
        </w:tc>
        <w:tc>
          <w:tcPr>
            <w:tcW w:w="888" w:type="dxa"/>
          </w:tcPr>
          <w:p w14:paraId="2A8C9C61" w14:textId="77777777" w:rsidR="0042504F" w:rsidRPr="00406187" w:rsidRDefault="0042504F" w:rsidP="0063690F">
            <w:pPr>
              <w:rPr>
                <w:sz w:val="20"/>
                <w:szCs w:val="20"/>
                <w:lang w:val="en-IE"/>
              </w:rPr>
            </w:pPr>
          </w:p>
        </w:tc>
        <w:tc>
          <w:tcPr>
            <w:tcW w:w="989" w:type="dxa"/>
          </w:tcPr>
          <w:p w14:paraId="6F57EC4F" w14:textId="77777777" w:rsidR="0042504F" w:rsidRPr="00406187" w:rsidRDefault="0042504F" w:rsidP="0063690F">
            <w:pPr>
              <w:rPr>
                <w:sz w:val="20"/>
                <w:szCs w:val="20"/>
                <w:lang w:val="en-IE"/>
              </w:rPr>
            </w:pPr>
          </w:p>
        </w:tc>
        <w:tc>
          <w:tcPr>
            <w:tcW w:w="887" w:type="dxa"/>
          </w:tcPr>
          <w:p w14:paraId="1B117FF2" w14:textId="77777777" w:rsidR="0042504F" w:rsidRPr="00406187" w:rsidRDefault="0042504F" w:rsidP="0063690F">
            <w:pPr>
              <w:rPr>
                <w:sz w:val="20"/>
                <w:szCs w:val="20"/>
                <w:lang w:val="en-IE"/>
              </w:rPr>
            </w:pPr>
          </w:p>
        </w:tc>
        <w:tc>
          <w:tcPr>
            <w:tcW w:w="989" w:type="dxa"/>
            <w:vAlign w:val="bottom"/>
          </w:tcPr>
          <w:p w14:paraId="09663A76" w14:textId="77777777" w:rsidR="0042504F" w:rsidRPr="00406187" w:rsidRDefault="0042504F" w:rsidP="0063690F">
            <w:pPr>
              <w:jc w:val="right"/>
              <w:rPr>
                <w:sz w:val="20"/>
                <w:szCs w:val="20"/>
                <w:lang w:val="en-IE"/>
              </w:rPr>
            </w:pPr>
            <w:r w:rsidRPr="00406187">
              <w:rPr>
                <w:sz w:val="20"/>
                <w:szCs w:val="20"/>
                <w:lang w:val="en-IE"/>
              </w:rPr>
              <w:t>1.015</w:t>
            </w:r>
          </w:p>
        </w:tc>
        <w:tc>
          <w:tcPr>
            <w:tcW w:w="887" w:type="dxa"/>
          </w:tcPr>
          <w:p w14:paraId="31DD88A6" w14:textId="77777777" w:rsidR="0042504F" w:rsidRPr="00406187" w:rsidRDefault="0042504F" w:rsidP="0063690F">
            <w:pPr>
              <w:rPr>
                <w:sz w:val="20"/>
                <w:szCs w:val="20"/>
                <w:lang w:val="en-IE"/>
              </w:rPr>
            </w:pPr>
          </w:p>
        </w:tc>
        <w:tc>
          <w:tcPr>
            <w:tcW w:w="989" w:type="dxa"/>
            <w:vAlign w:val="bottom"/>
          </w:tcPr>
          <w:p w14:paraId="1AD02299" w14:textId="77777777" w:rsidR="0042504F" w:rsidRPr="00406187" w:rsidRDefault="0042504F" w:rsidP="0063690F">
            <w:pPr>
              <w:jc w:val="right"/>
              <w:rPr>
                <w:sz w:val="20"/>
                <w:szCs w:val="20"/>
                <w:lang w:val="en-IE"/>
              </w:rPr>
            </w:pPr>
            <w:r w:rsidRPr="00406187">
              <w:rPr>
                <w:sz w:val="20"/>
                <w:szCs w:val="20"/>
                <w:lang w:val="en-IE"/>
              </w:rPr>
              <w:t>0.763</w:t>
            </w:r>
          </w:p>
        </w:tc>
        <w:tc>
          <w:tcPr>
            <w:tcW w:w="887" w:type="dxa"/>
            <w:vAlign w:val="bottom"/>
          </w:tcPr>
          <w:p w14:paraId="3DCBF656"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48C672AE" w14:textId="77777777" w:rsidTr="00406187">
        <w:tc>
          <w:tcPr>
            <w:tcW w:w="2802" w:type="dxa"/>
            <w:vAlign w:val="bottom"/>
          </w:tcPr>
          <w:p w14:paraId="6B33AF89" w14:textId="77777777" w:rsidR="0042504F" w:rsidRPr="00406187" w:rsidRDefault="0042504F" w:rsidP="0063690F">
            <w:pPr>
              <w:rPr>
                <w:sz w:val="20"/>
                <w:szCs w:val="20"/>
                <w:lang w:val="en-IE"/>
              </w:rPr>
            </w:pPr>
            <w:r w:rsidRPr="00406187">
              <w:rPr>
                <w:sz w:val="20"/>
                <w:szCs w:val="20"/>
                <w:lang w:val="en-IE"/>
              </w:rPr>
              <w:t xml:space="preserve">  Further Education Award</w:t>
            </w:r>
          </w:p>
        </w:tc>
        <w:tc>
          <w:tcPr>
            <w:tcW w:w="258" w:type="dxa"/>
          </w:tcPr>
          <w:p w14:paraId="38E21E1F" w14:textId="77777777" w:rsidR="0042504F" w:rsidRPr="00406187" w:rsidRDefault="0042504F" w:rsidP="0063690F">
            <w:pPr>
              <w:rPr>
                <w:sz w:val="20"/>
                <w:szCs w:val="20"/>
                <w:lang w:val="en-IE"/>
              </w:rPr>
            </w:pPr>
          </w:p>
        </w:tc>
        <w:tc>
          <w:tcPr>
            <w:tcW w:w="888" w:type="dxa"/>
          </w:tcPr>
          <w:p w14:paraId="55AA4EC5" w14:textId="77777777" w:rsidR="0042504F" w:rsidRPr="00406187" w:rsidRDefault="0042504F" w:rsidP="0063690F">
            <w:pPr>
              <w:rPr>
                <w:sz w:val="20"/>
                <w:szCs w:val="20"/>
                <w:lang w:val="en-IE"/>
              </w:rPr>
            </w:pPr>
          </w:p>
        </w:tc>
        <w:tc>
          <w:tcPr>
            <w:tcW w:w="989" w:type="dxa"/>
          </w:tcPr>
          <w:p w14:paraId="019CCEA9" w14:textId="77777777" w:rsidR="0042504F" w:rsidRPr="00406187" w:rsidRDefault="0042504F" w:rsidP="0063690F">
            <w:pPr>
              <w:rPr>
                <w:sz w:val="20"/>
                <w:szCs w:val="20"/>
                <w:lang w:val="en-IE"/>
              </w:rPr>
            </w:pPr>
          </w:p>
        </w:tc>
        <w:tc>
          <w:tcPr>
            <w:tcW w:w="887" w:type="dxa"/>
          </w:tcPr>
          <w:p w14:paraId="77B0DCDE" w14:textId="77777777" w:rsidR="0042504F" w:rsidRPr="00406187" w:rsidRDefault="0042504F" w:rsidP="0063690F">
            <w:pPr>
              <w:rPr>
                <w:sz w:val="20"/>
                <w:szCs w:val="20"/>
                <w:lang w:val="en-IE"/>
              </w:rPr>
            </w:pPr>
          </w:p>
        </w:tc>
        <w:tc>
          <w:tcPr>
            <w:tcW w:w="989" w:type="dxa"/>
            <w:vAlign w:val="bottom"/>
          </w:tcPr>
          <w:p w14:paraId="571628AF" w14:textId="77777777" w:rsidR="0042504F" w:rsidRPr="00406187" w:rsidRDefault="0042504F" w:rsidP="0063690F">
            <w:pPr>
              <w:jc w:val="right"/>
              <w:rPr>
                <w:sz w:val="20"/>
                <w:szCs w:val="20"/>
                <w:lang w:val="en-IE"/>
              </w:rPr>
            </w:pPr>
            <w:r w:rsidRPr="00406187">
              <w:rPr>
                <w:sz w:val="20"/>
                <w:szCs w:val="20"/>
                <w:lang w:val="en-IE"/>
              </w:rPr>
              <w:t>1.002</w:t>
            </w:r>
          </w:p>
        </w:tc>
        <w:tc>
          <w:tcPr>
            <w:tcW w:w="887" w:type="dxa"/>
          </w:tcPr>
          <w:p w14:paraId="0823A682" w14:textId="77777777" w:rsidR="0042504F" w:rsidRPr="00406187" w:rsidRDefault="0042504F" w:rsidP="0063690F">
            <w:pPr>
              <w:rPr>
                <w:sz w:val="20"/>
                <w:szCs w:val="20"/>
                <w:lang w:val="en-IE"/>
              </w:rPr>
            </w:pPr>
          </w:p>
        </w:tc>
        <w:tc>
          <w:tcPr>
            <w:tcW w:w="989" w:type="dxa"/>
            <w:vAlign w:val="bottom"/>
          </w:tcPr>
          <w:p w14:paraId="5AB7700A" w14:textId="77777777" w:rsidR="0042504F" w:rsidRPr="00406187" w:rsidRDefault="0042504F" w:rsidP="0063690F">
            <w:pPr>
              <w:jc w:val="right"/>
              <w:rPr>
                <w:sz w:val="20"/>
                <w:szCs w:val="20"/>
                <w:lang w:val="en-IE"/>
              </w:rPr>
            </w:pPr>
            <w:r w:rsidRPr="00406187">
              <w:rPr>
                <w:sz w:val="20"/>
                <w:szCs w:val="20"/>
                <w:lang w:val="en-IE"/>
              </w:rPr>
              <w:t>0.839</w:t>
            </w:r>
          </w:p>
        </w:tc>
        <w:tc>
          <w:tcPr>
            <w:tcW w:w="887" w:type="dxa"/>
            <w:vAlign w:val="bottom"/>
          </w:tcPr>
          <w:p w14:paraId="4A520CEB"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7BC2D364" w14:textId="77777777" w:rsidTr="00406187">
        <w:tc>
          <w:tcPr>
            <w:tcW w:w="2802" w:type="dxa"/>
            <w:vAlign w:val="bottom"/>
          </w:tcPr>
          <w:p w14:paraId="002A58DA" w14:textId="77777777" w:rsidR="0042504F" w:rsidRPr="00406187" w:rsidRDefault="0042504F" w:rsidP="0063690F">
            <w:pPr>
              <w:rPr>
                <w:sz w:val="20"/>
                <w:szCs w:val="20"/>
                <w:lang w:val="en-IE"/>
              </w:rPr>
            </w:pPr>
            <w:r w:rsidRPr="00406187">
              <w:rPr>
                <w:sz w:val="20"/>
                <w:szCs w:val="20"/>
                <w:lang w:val="en-IE"/>
              </w:rPr>
              <w:t xml:space="preserve">  HEAR</w:t>
            </w:r>
          </w:p>
        </w:tc>
        <w:tc>
          <w:tcPr>
            <w:tcW w:w="258" w:type="dxa"/>
          </w:tcPr>
          <w:p w14:paraId="739F5C4A" w14:textId="77777777" w:rsidR="0042504F" w:rsidRPr="00406187" w:rsidRDefault="0042504F" w:rsidP="0063690F">
            <w:pPr>
              <w:rPr>
                <w:sz w:val="20"/>
                <w:szCs w:val="20"/>
                <w:lang w:val="en-IE"/>
              </w:rPr>
            </w:pPr>
          </w:p>
        </w:tc>
        <w:tc>
          <w:tcPr>
            <w:tcW w:w="888" w:type="dxa"/>
          </w:tcPr>
          <w:p w14:paraId="43A46C75" w14:textId="77777777" w:rsidR="0042504F" w:rsidRPr="00406187" w:rsidRDefault="0042504F" w:rsidP="0063690F">
            <w:pPr>
              <w:rPr>
                <w:sz w:val="20"/>
                <w:szCs w:val="20"/>
                <w:lang w:val="en-IE"/>
              </w:rPr>
            </w:pPr>
          </w:p>
        </w:tc>
        <w:tc>
          <w:tcPr>
            <w:tcW w:w="989" w:type="dxa"/>
          </w:tcPr>
          <w:p w14:paraId="15E1AA2F" w14:textId="77777777" w:rsidR="0042504F" w:rsidRPr="00406187" w:rsidRDefault="0042504F" w:rsidP="0063690F">
            <w:pPr>
              <w:rPr>
                <w:sz w:val="20"/>
                <w:szCs w:val="20"/>
                <w:lang w:val="en-IE"/>
              </w:rPr>
            </w:pPr>
          </w:p>
        </w:tc>
        <w:tc>
          <w:tcPr>
            <w:tcW w:w="887" w:type="dxa"/>
          </w:tcPr>
          <w:p w14:paraId="0D4A9336" w14:textId="77777777" w:rsidR="0042504F" w:rsidRPr="00406187" w:rsidRDefault="0042504F" w:rsidP="0063690F">
            <w:pPr>
              <w:rPr>
                <w:sz w:val="20"/>
                <w:szCs w:val="20"/>
                <w:lang w:val="en-IE"/>
              </w:rPr>
            </w:pPr>
          </w:p>
        </w:tc>
        <w:tc>
          <w:tcPr>
            <w:tcW w:w="989" w:type="dxa"/>
            <w:vAlign w:val="bottom"/>
          </w:tcPr>
          <w:p w14:paraId="00FE32B2" w14:textId="77777777" w:rsidR="0042504F" w:rsidRPr="00406187" w:rsidRDefault="0042504F" w:rsidP="0063690F">
            <w:pPr>
              <w:jc w:val="right"/>
              <w:rPr>
                <w:sz w:val="20"/>
                <w:szCs w:val="20"/>
                <w:lang w:val="en-IE"/>
              </w:rPr>
            </w:pPr>
            <w:r w:rsidRPr="00406187">
              <w:rPr>
                <w:sz w:val="20"/>
                <w:szCs w:val="20"/>
                <w:lang w:val="en-IE"/>
              </w:rPr>
              <w:t>0.989</w:t>
            </w:r>
          </w:p>
        </w:tc>
        <w:tc>
          <w:tcPr>
            <w:tcW w:w="887" w:type="dxa"/>
          </w:tcPr>
          <w:p w14:paraId="32EB935B" w14:textId="77777777" w:rsidR="0042504F" w:rsidRPr="00406187" w:rsidRDefault="0042504F" w:rsidP="0063690F">
            <w:pPr>
              <w:rPr>
                <w:sz w:val="20"/>
                <w:szCs w:val="20"/>
                <w:lang w:val="en-IE"/>
              </w:rPr>
            </w:pPr>
          </w:p>
        </w:tc>
        <w:tc>
          <w:tcPr>
            <w:tcW w:w="989" w:type="dxa"/>
            <w:vAlign w:val="bottom"/>
          </w:tcPr>
          <w:p w14:paraId="1280E8D9" w14:textId="77777777" w:rsidR="0042504F" w:rsidRPr="00406187" w:rsidRDefault="0042504F" w:rsidP="0063690F">
            <w:pPr>
              <w:jc w:val="right"/>
              <w:rPr>
                <w:sz w:val="20"/>
                <w:szCs w:val="20"/>
                <w:lang w:val="en-IE"/>
              </w:rPr>
            </w:pPr>
            <w:r w:rsidRPr="00406187">
              <w:rPr>
                <w:sz w:val="20"/>
                <w:szCs w:val="20"/>
                <w:lang w:val="en-IE"/>
              </w:rPr>
              <w:t>0.846</w:t>
            </w:r>
          </w:p>
        </w:tc>
        <w:tc>
          <w:tcPr>
            <w:tcW w:w="887" w:type="dxa"/>
            <w:vAlign w:val="bottom"/>
          </w:tcPr>
          <w:p w14:paraId="76718331"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33D9EBEB" w14:textId="77777777" w:rsidTr="00406187">
        <w:tc>
          <w:tcPr>
            <w:tcW w:w="2802" w:type="dxa"/>
            <w:vAlign w:val="bottom"/>
          </w:tcPr>
          <w:p w14:paraId="7C348ACD" w14:textId="77777777" w:rsidR="0042504F" w:rsidRPr="00406187" w:rsidRDefault="0042504F" w:rsidP="0063690F">
            <w:pPr>
              <w:rPr>
                <w:sz w:val="20"/>
                <w:szCs w:val="20"/>
                <w:lang w:val="en-IE"/>
              </w:rPr>
            </w:pPr>
            <w:r w:rsidRPr="00406187">
              <w:rPr>
                <w:sz w:val="20"/>
                <w:szCs w:val="20"/>
                <w:lang w:val="en-IE"/>
              </w:rPr>
              <w:t xml:space="preserve">  Mature Years</w:t>
            </w:r>
          </w:p>
        </w:tc>
        <w:tc>
          <w:tcPr>
            <w:tcW w:w="258" w:type="dxa"/>
          </w:tcPr>
          <w:p w14:paraId="06BDD4D6" w14:textId="77777777" w:rsidR="0042504F" w:rsidRPr="00406187" w:rsidRDefault="0042504F" w:rsidP="0063690F">
            <w:pPr>
              <w:rPr>
                <w:sz w:val="20"/>
                <w:szCs w:val="20"/>
                <w:lang w:val="en-IE"/>
              </w:rPr>
            </w:pPr>
          </w:p>
        </w:tc>
        <w:tc>
          <w:tcPr>
            <w:tcW w:w="888" w:type="dxa"/>
          </w:tcPr>
          <w:p w14:paraId="3B9ABAAF" w14:textId="77777777" w:rsidR="0042504F" w:rsidRPr="00406187" w:rsidRDefault="0042504F" w:rsidP="0063690F">
            <w:pPr>
              <w:rPr>
                <w:sz w:val="20"/>
                <w:szCs w:val="20"/>
                <w:lang w:val="en-IE"/>
              </w:rPr>
            </w:pPr>
          </w:p>
        </w:tc>
        <w:tc>
          <w:tcPr>
            <w:tcW w:w="989" w:type="dxa"/>
          </w:tcPr>
          <w:p w14:paraId="39F8941B" w14:textId="77777777" w:rsidR="0042504F" w:rsidRPr="00406187" w:rsidRDefault="0042504F" w:rsidP="0063690F">
            <w:pPr>
              <w:rPr>
                <w:sz w:val="20"/>
                <w:szCs w:val="20"/>
                <w:lang w:val="en-IE"/>
              </w:rPr>
            </w:pPr>
          </w:p>
        </w:tc>
        <w:tc>
          <w:tcPr>
            <w:tcW w:w="887" w:type="dxa"/>
          </w:tcPr>
          <w:p w14:paraId="1056A30F" w14:textId="77777777" w:rsidR="0042504F" w:rsidRPr="00406187" w:rsidRDefault="0042504F" w:rsidP="0063690F">
            <w:pPr>
              <w:rPr>
                <w:sz w:val="20"/>
                <w:szCs w:val="20"/>
                <w:lang w:val="en-IE"/>
              </w:rPr>
            </w:pPr>
          </w:p>
        </w:tc>
        <w:tc>
          <w:tcPr>
            <w:tcW w:w="989" w:type="dxa"/>
            <w:vAlign w:val="bottom"/>
          </w:tcPr>
          <w:p w14:paraId="66BA225B" w14:textId="77777777" w:rsidR="0042504F" w:rsidRPr="00406187" w:rsidRDefault="0042504F" w:rsidP="0063690F">
            <w:pPr>
              <w:jc w:val="right"/>
              <w:rPr>
                <w:sz w:val="20"/>
                <w:szCs w:val="20"/>
                <w:lang w:val="en-IE"/>
              </w:rPr>
            </w:pPr>
            <w:r w:rsidRPr="00406187">
              <w:rPr>
                <w:sz w:val="20"/>
                <w:szCs w:val="20"/>
                <w:lang w:val="en-IE"/>
              </w:rPr>
              <w:t>1.053</w:t>
            </w:r>
          </w:p>
        </w:tc>
        <w:tc>
          <w:tcPr>
            <w:tcW w:w="887" w:type="dxa"/>
          </w:tcPr>
          <w:p w14:paraId="0DC4E7D6" w14:textId="77777777" w:rsidR="0042504F" w:rsidRPr="00406187" w:rsidRDefault="0042504F" w:rsidP="0063690F">
            <w:pPr>
              <w:rPr>
                <w:sz w:val="20"/>
                <w:szCs w:val="20"/>
                <w:lang w:val="en-IE"/>
              </w:rPr>
            </w:pPr>
          </w:p>
        </w:tc>
        <w:tc>
          <w:tcPr>
            <w:tcW w:w="989" w:type="dxa"/>
            <w:vAlign w:val="bottom"/>
          </w:tcPr>
          <w:p w14:paraId="55FEA9FF" w14:textId="77777777" w:rsidR="0042504F" w:rsidRPr="00406187" w:rsidRDefault="0042504F" w:rsidP="0063690F">
            <w:pPr>
              <w:jc w:val="right"/>
              <w:rPr>
                <w:sz w:val="20"/>
                <w:szCs w:val="20"/>
                <w:lang w:val="en-IE"/>
              </w:rPr>
            </w:pPr>
            <w:r w:rsidRPr="00406187">
              <w:rPr>
                <w:sz w:val="20"/>
                <w:szCs w:val="20"/>
                <w:lang w:val="en-IE"/>
              </w:rPr>
              <w:t>0.996</w:t>
            </w:r>
          </w:p>
        </w:tc>
        <w:tc>
          <w:tcPr>
            <w:tcW w:w="887" w:type="dxa"/>
          </w:tcPr>
          <w:p w14:paraId="25CC90C0" w14:textId="77777777" w:rsidR="0042504F" w:rsidRPr="00406187" w:rsidRDefault="0042504F" w:rsidP="0063690F">
            <w:pPr>
              <w:rPr>
                <w:sz w:val="20"/>
                <w:szCs w:val="20"/>
                <w:lang w:val="en-IE"/>
              </w:rPr>
            </w:pPr>
          </w:p>
        </w:tc>
      </w:tr>
      <w:tr w:rsidR="00406187" w:rsidRPr="00406187" w14:paraId="314C9B36" w14:textId="77777777" w:rsidTr="00406187">
        <w:tc>
          <w:tcPr>
            <w:tcW w:w="2802" w:type="dxa"/>
            <w:vAlign w:val="bottom"/>
          </w:tcPr>
          <w:p w14:paraId="4A3C6BDD" w14:textId="77777777" w:rsidR="0042504F" w:rsidRPr="00406187" w:rsidRDefault="0042504F" w:rsidP="0063690F">
            <w:pPr>
              <w:rPr>
                <w:sz w:val="20"/>
                <w:szCs w:val="20"/>
                <w:lang w:val="en-IE"/>
              </w:rPr>
            </w:pPr>
            <w:r w:rsidRPr="00406187">
              <w:rPr>
                <w:sz w:val="20"/>
                <w:szCs w:val="20"/>
                <w:lang w:val="en-IE"/>
              </w:rPr>
              <w:t xml:space="preserve">  Other</w:t>
            </w:r>
          </w:p>
        </w:tc>
        <w:tc>
          <w:tcPr>
            <w:tcW w:w="258" w:type="dxa"/>
          </w:tcPr>
          <w:p w14:paraId="0B02E0CB" w14:textId="77777777" w:rsidR="0042504F" w:rsidRPr="00406187" w:rsidRDefault="0042504F" w:rsidP="0063690F">
            <w:pPr>
              <w:rPr>
                <w:sz w:val="20"/>
                <w:szCs w:val="20"/>
                <w:lang w:val="en-IE"/>
              </w:rPr>
            </w:pPr>
          </w:p>
        </w:tc>
        <w:tc>
          <w:tcPr>
            <w:tcW w:w="888" w:type="dxa"/>
          </w:tcPr>
          <w:p w14:paraId="0876879E" w14:textId="77777777" w:rsidR="0042504F" w:rsidRPr="00406187" w:rsidRDefault="0042504F" w:rsidP="0063690F">
            <w:pPr>
              <w:rPr>
                <w:sz w:val="20"/>
                <w:szCs w:val="20"/>
                <w:lang w:val="en-IE"/>
              </w:rPr>
            </w:pPr>
          </w:p>
        </w:tc>
        <w:tc>
          <w:tcPr>
            <w:tcW w:w="989" w:type="dxa"/>
          </w:tcPr>
          <w:p w14:paraId="463D70E5" w14:textId="77777777" w:rsidR="0042504F" w:rsidRPr="00406187" w:rsidRDefault="0042504F" w:rsidP="0063690F">
            <w:pPr>
              <w:rPr>
                <w:sz w:val="20"/>
                <w:szCs w:val="20"/>
                <w:lang w:val="en-IE"/>
              </w:rPr>
            </w:pPr>
          </w:p>
        </w:tc>
        <w:tc>
          <w:tcPr>
            <w:tcW w:w="887" w:type="dxa"/>
          </w:tcPr>
          <w:p w14:paraId="3E20D962" w14:textId="77777777" w:rsidR="0042504F" w:rsidRPr="00406187" w:rsidRDefault="0042504F" w:rsidP="0063690F">
            <w:pPr>
              <w:rPr>
                <w:sz w:val="20"/>
                <w:szCs w:val="20"/>
                <w:lang w:val="en-IE"/>
              </w:rPr>
            </w:pPr>
          </w:p>
        </w:tc>
        <w:tc>
          <w:tcPr>
            <w:tcW w:w="989" w:type="dxa"/>
            <w:vAlign w:val="bottom"/>
          </w:tcPr>
          <w:p w14:paraId="0D40566D" w14:textId="77777777" w:rsidR="0042504F" w:rsidRPr="00406187" w:rsidRDefault="0042504F" w:rsidP="0063690F">
            <w:pPr>
              <w:jc w:val="right"/>
              <w:rPr>
                <w:sz w:val="20"/>
                <w:szCs w:val="20"/>
                <w:lang w:val="en-IE"/>
              </w:rPr>
            </w:pPr>
            <w:r w:rsidRPr="00406187">
              <w:rPr>
                <w:sz w:val="20"/>
                <w:szCs w:val="20"/>
                <w:lang w:val="en-IE"/>
              </w:rPr>
              <w:t>0.403</w:t>
            </w:r>
          </w:p>
        </w:tc>
        <w:tc>
          <w:tcPr>
            <w:tcW w:w="887" w:type="dxa"/>
            <w:vAlign w:val="bottom"/>
          </w:tcPr>
          <w:p w14:paraId="7840548F"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56F8DE4B" w14:textId="77777777" w:rsidR="0042504F" w:rsidRPr="00406187" w:rsidRDefault="0042504F" w:rsidP="0063690F">
            <w:pPr>
              <w:jc w:val="right"/>
              <w:rPr>
                <w:sz w:val="20"/>
                <w:szCs w:val="20"/>
                <w:lang w:val="en-IE"/>
              </w:rPr>
            </w:pPr>
            <w:r w:rsidRPr="00406187">
              <w:rPr>
                <w:sz w:val="20"/>
                <w:szCs w:val="20"/>
                <w:lang w:val="en-IE"/>
              </w:rPr>
              <w:t>0.444</w:t>
            </w:r>
          </w:p>
        </w:tc>
        <w:tc>
          <w:tcPr>
            <w:tcW w:w="887" w:type="dxa"/>
            <w:vAlign w:val="bottom"/>
          </w:tcPr>
          <w:p w14:paraId="2474D643"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4B029306" w14:textId="77777777" w:rsidTr="00406187">
        <w:tc>
          <w:tcPr>
            <w:tcW w:w="2802" w:type="dxa"/>
            <w:vAlign w:val="bottom"/>
          </w:tcPr>
          <w:p w14:paraId="62EB3C69" w14:textId="77777777" w:rsidR="0042504F" w:rsidRPr="00406187" w:rsidRDefault="0042504F" w:rsidP="0063690F">
            <w:pPr>
              <w:rPr>
                <w:sz w:val="20"/>
                <w:szCs w:val="20"/>
                <w:lang w:val="en-IE"/>
              </w:rPr>
            </w:pPr>
            <w:r w:rsidRPr="00406187">
              <w:rPr>
                <w:sz w:val="20"/>
                <w:szCs w:val="20"/>
                <w:lang w:val="en-IE"/>
              </w:rPr>
              <w:t>Distance home from College</w:t>
            </w:r>
          </w:p>
        </w:tc>
        <w:tc>
          <w:tcPr>
            <w:tcW w:w="258" w:type="dxa"/>
          </w:tcPr>
          <w:p w14:paraId="75796128" w14:textId="77777777" w:rsidR="0042504F" w:rsidRPr="00406187" w:rsidRDefault="0042504F" w:rsidP="0063690F">
            <w:pPr>
              <w:rPr>
                <w:sz w:val="20"/>
                <w:szCs w:val="20"/>
                <w:lang w:val="en-IE"/>
              </w:rPr>
            </w:pPr>
          </w:p>
        </w:tc>
        <w:tc>
          <w:tcPr>
            <w:tcW w:w="888" w:type="dxa"/>
          </w:tcPr>
          <w:p w14:paraId="4C9133A4" w14:textId="77777777" w:rsidR="0042504F" w:rsidRPr="00406187" w:rsidRDefault="0042504F" w:rsidP="0063690F">
            <w:pPr>
              <w:rPr>
                <w:sz w:val="20"/>
                <w:szCs w:val="20"/>
                <w:lang w:val="en-IE"/>
              </w:rPr>
            </w:pPr>
          </w:p>
        </w:tc>
        <w:tc>
          <w:tcPr>
            <w:tcW w:w="989" w:type="dxa"/>
          </w:tcPr>
          <w:p w14:paraId="7976FB02" w14:textId="77777777" w:rsidR="0042504F" w:rsidRPr="00406187" w:rsidRDefault="0042504F" w:rsidP="0063690F">
            <w:pPr>
              <w:rPr>
                <w:sz w:val="20"/>
                <w:szCs w:val="20"/>
                <w:lang w:val="en-IE"/>
              </w:rPr>
            </w:pPr>
          </w:p>
        </w:tc>
        <w:tc>
          <w:tcPr>
            <w:tcW w:w="887" w:type="dxa"/>
          </w:tcPr>
          <w:p w14:paraId="64887329" w14:textId="77777777" w:rsidR="0042504F" w:rsidRPr="00406187" w:rsidRDefault="0042504F" w:rsidP="0063690F">
            <w:pPr>
              <w:rPr>
                <w:sz w:val="20"/>
                <w:szCs w:val="20"/>
                <w:lang w:val="en-IE"/>
              </w:rPr>
            </w:pPr>
          </w:p>
        </w:tc>
        <w:tc>
          <w:tcPr>
            <w:tcW w:w="989" w:type="dxa"/>
          </w:tcPr>
          <w:p w14:paraId="61B6DA69" w14:textId="77777777" w:rsidR="0042504F" w:rsidRPr="00406187" w:rsidRDefault="0042504F" w:rsidP="0063690F">
            <w:pPr>
              <w:rPr>
                <w:sz w:val="20"/>
                <w:szCs w:val="20"/>
                <w:lang w:val="en-IE"/>
              </w:rPr>
            </w:pPr>
          </w:p>
        </w:tc>
        <w:tc>
          <w:tcPr>
            <w:tcW w:w="887" w:type="dxa"/>
          </w:tcPr>
          <w:p w14:paraId="3EE5EB46" w14:textId="77777777" w:rsidR="0042504F" w:rsidRPr="00406187" w:rsidRDefault="0042504F" w:rsidP="0063690F">
            <w:pPr>
              <w:rPr>
                <w:sz w:val="20"/>
                <w:szCs w:val="20"/>
                <w:lang w:val="en-IE"/>
              </w:rPr>
            </w:pPr>
          </w:p>
        </w:tc>
        <w:tc>
          <w:tcPr>
            <w:tcW w:w="989" w:type="dxa"/>
          </w:tcPr>
          <w:p w14:paraId="157FC34F" w14:textId="77777777" w:rsidR="0042504F" w:rsidRPr="00406187" w:rsidRDefault="0042504F" w:rsidP="0063690F">
            <w:pPr>
              <w:rPr>
                <w:sz w:val="20"/>
                <w:szCs w:val="20"/>
                <w:lang w:val="en-IE"/>
              </w:rPr>
            </w:pPr>
          </w:p>
        </w:tc>
        <w:tc>
          <w:tcPr>
            <w:tcW w:w="887" w:type="dxa"/>
          </w:tcPr>
          <w:p w14:paraId="6174703C" w14:textId="77777777" w:rsidR="0042504F" w:rsidRPr="00406187" w:rsidRDefault="0042504F" w:rsidP="0063690F">
            <w:pPr>
              <w:rPr>
                <w:sz w:val="20"/>
                <w:szCs w:val="20"/>
                <w:lang w:val="en-IE"/>
              </w:rPr>
            </w:pPr>
          </w:p>
        </w:tc>
      </w:tr>
      <w:tr w:rsidR="00406187" w:rsidRPr="00406187" w14:paraId="5BB17EA0" w14:textId="77777777" w:rsidTr="00406187">
        <w:tc>
          <w:tcPr>
            <w:tcW w:w="2802" w:type="dxa"/>
            <w:vAlign w:val="bottom"/>
          </w:tcPr>
          <w:p w14:paraId="3CCF363B" w14:textId="77777777" w:rsidR="0042504F" w:rsidRPr="00406187" w:rsidRDefault="0042504F" w:rsidP="0063690F">
            <w:pPr>
              <w:rPr>
                <w:sz w:val="20"/>
                <w:szCs w:val="20"/>
                <w:lang w:val="en-IE"/>
              </w:rPr>
            </w:pPr>
            <w:r w:rsidRPr="00406187">
              <w:rPr>
                <w:sz w:val="20"/>
                <w:szCs w:val="20"/>
                <w:lang w:val="en-IE"/>
              </w:rPr>
              <w:t xml:space="preserve">  15km to 69km</w:t>
            </w:r>
          </w:p>
        </w:tc>
        <w:tc>
          <w:tcPr>
            <w:tcW w:w="258" w:type="dxa"/>
          </w:tcPr>
          <w:p w14:paraId="7460423B" w14:textId="77777777" w:rsidR="0042504F" w:rsidRPr="00406187" w:rsidRDefault="0042504F" w:rsidP="0063690F">
            <w:pPr>
              <w:rPr>
                <w:sz w:val="20"/>
                <w:szCs w:val="20"/>
                <w:lang w:val="en-IE"/>
              </w:rPr>
            </w:pPr>
          </w:p>
        </w:tc>
        <w:tc>
          <w:tcPr>
            <w:tcW w:w="888" w:type="dxa"/>
          </w:tcPr>
          <w:p w14:paraId="2BD9D89B" w14:textId="77777777" w:rsidR="0042504F" w:rsidRPr="00406187" w:rsidRDefault="0042504F" w:rsidP="0063690F">
            <w:pPr>
              <w:rPr>
                <w:sz w:val="20"/>
                <w:szCs w:val="20"/>
                <w:lang w:val="en-IE"/>
              </w:rPr>
            </w:pPr>
          </w:p>
        </w:tc>
        <w:tc>
          <w:tcPr>
            <w:tcW w:w="989" w:type="dxa"/>
          </w:tcPr>
          <w:p w14:paraId="5F577FDC" w14:textId="77777777" w:rsidR="0042504F" w:rsidRPr="00406187" w:rsidRDefault="0042504F" w:rsidP="0063690F">
            <w:pPr>
              <w:rPr>
                <w:sz w:val="20"/>
                <w:szCs w:val="20"/>
                <w:lang w:val="en-IE"/>
              </w:rPr>
            </w:pPr>
          </w:p>
        </w:tc>
        <w:tc>
          <w:tcPr>
            <w:tcW w:w="887" w:type="dxa"/>
          </w:tcPr>
          <w:p w14:paraId="3AD0F4B0" w14:textId="77777777" w:rsidR="0042504F" w:rsidRPr="00406187" w:rsidRDefault="0042504F" w:rsidP="0063690F">
            <w:pPr>
              <w:rPr>
                <w:sz w:val="20"/>
                <w:szCs w:val="20"/>
                <w:lang w:val="en-IE"/>
              </w:rPr>
            </w:pPr>
          </w:p>
        </w:tc>
        <w:tc>
          <w:tcPr>
            <w:tcW w:w="989" w:type="dxa"/>
            <w:vAlign w:val="bottom"/>
          </w:tcPr>
          <w:p w14:paraId="7D47CEA3" w14:textId="77777777" w:rsidR="0042504F" w:rsidRPr="00406187" w:rsidRDefault="0042504F" w:rsidP="0063690F">
            <w:pPr>
              <w:jc w:val="right"/>
              <w:rPr>
                <w:sz w:val="20"/>
                <w:szCs w:val="20"/>
                <w:lang w:val="en-IE"/>
              </w:rPr>
            </w:pPr>
            <w:r w:rsidRPr="00406187">
              <w:rPr>
                <w:sz w:val="20"/>
                <w:szCs w:val="20"/>
                <w:lang w:val="en-IE"/>
              </w:rPr>
              <w:t>1.001</w:t>
            </w:r>
          </w:p>
        </w:tc>
        <w:tc>
          <w:tcPr>
            <w:tcW w:w="887" w:type="dxa"/>
          </w:tcPr>
          <w:p w14:paraId="46CF4717" w14:textId="77777777" w:rsidR="0042504F" w:rsidRPr="00406187" w:rsidRDefault="0042504F" w:rsidP="0063690F">
            <w:pPr>
              <w:rPr>
                <w:sz w:val="20"/>
                <w:szCs w:val="20"/>
                <w:lang w:val="en-IE"/>
              </w:rPr>
            </w:pPr>
          </w:p>
        </w:tc>
        <w:tc>
          <w:tcPr>
            <w:tcW w:w="989" w:type="dxa"/>
            <w:vAlign w:val="bottom"/>
          </w:tcPr>
          <w:p w14:paraId="18E70B35" w14:textId="77777777" w:rsidR="0042504F" w:rsidRPr="00406187" w:rsidRDefault="0042504F" w:rsidP="0063690F">
            <w:pPr>
              <w:jc w:val="right"/>
              <w:rPr>
                <w:sz w:val="20"/>
                <w:szCs w:val="20"/>
                <w:lang w:val="en-IE"/>
              </w:rPr>
            </w:pPr>
            <w:r w:rsidRPr="00406187">
              <w:rPr>
                <w:sz w:val="20"/>
                <w:szCs w:val="20"/>
                <w:lang w:val="en-IE"/>
              </w:rPr>
              <w:t>0.976</w:t>
            </w:r>
          </w:p>
        </w:tc>
        <w:tc>
          <w:tcPr>
            <w:tcW w:w="887" w:type="dxa"/>
          </w:tcPr>
          <w:p w14:paraId="72A5BF86" w14:textId="77777777" w:rsidR="0042504F" w:rsidRPr="00406187" w:rsidRDefault="0042504F" w:rsidP="0063690F">
            <w:pPr>
              <w:rPr>
                <w:sz w:val="20"/>
                <w:szCs w:val="20"/>
                <w:lang w:val="en-IE"/>
              </w:rPr>
            </w:pPr>
          </w:p>
        </w:tc>
      </w:tr>
      <w:tr w:rsidR="00406187" w:rsidRPr="00406187" w14:paraId="13B323EC" w14:textId="77777777" w:rsidTr="00406187">
        <w:tc>
          <w:tcPr>
            <w:tcW w:w="2802" w:type="dxa"/>
            <w:vAlign w:val="bottom"/>
          </w:tcPr>
          <w:p w14:paraId="43539F36" w14:textId="77777777" w:rsidR="0042504F" w:rsidRPr="00406187" w:rsidRDefault="0042504F" w:rsidP="0063690F">
            <w:pPr>
              <w:rPr>
                <w:sz w:val="20"/>
                <w:szCs w:val="20"/>
                <w:lang w:val="en-IE"/>
              </w:rPr>
            </w:pPr>
            <w:r w:rsidRPr="00406187">
              <w:rPr>
                <w:sz w:val="20"/>
                <w:szCs w:val="20"/>
                <w:lang w:val="en-IE"/>
              </w:rPr>
              <w:t xml:space="preserve">  70km or more</w:t>
            </w:r>
          </w:p>
        </w:tc>
        <w:tc>
          <w:tcPr>
            <w:tcW w:w="258" w:type="dxa"/>
          </w:tcPr>
          <w:p w14:paraId="7A0FA159" w14:textId="77777777" w:rsidR="0042504F" w:rsidRPr="00406187" w:rsidRDefault="0042504F" w:rsidP="0063690F">
            <w:pPr>
              <w:rPr>
                <w:sz w:val="20"/>
                <w:szCs w:val="20"/>
                <w:lang w:val="en-IE"/>
              </w:rPr>
            </w:pPr>
          </w:p>
        </w:tc>
        <w:tc>
          <w:tcPr>
            <w:tcW w:w="888" w:type="dxa"/>
          </w:tcPr>
          <w:p w14:paraId="44ADBF27" w14:textId="77777777" w:rsidR="0042504F" w:rsidRPr="00406187" w:rsidRDefault="0042504F" w:rsidP="0063690F">
            <w:pPr>
              <w:rPr>
                <w:sz w:val="20"/>
                <w:szCs w:val="20"/>
                <w:lang w:val="en-IE"/>
              </w:rPr>
            </w:pPr>
          </w:p>
        </w:tc>
        <w:tc>
          <w:tcPr>
            <w:tcW w:w="989" w:type="dxa"/>
          </w:tcPr>
          <w:p w14:paraId="588B23B1" w14:textId="77777777" w:rsidR="0042504F" w:rsidRPr="00406187" w:rsidRDefault="0042504F" w:rsidP="0063690F">
            <w:pPr>
              <w:rPr>
                <w:sz w:val="20"/>
                <w:szCs w:val="20"/>
                <w:lang w:val="en-IE"/>
              </w:rPr>
            </w:pPr>
          </w:p>
        </w:tc>
        <w:tc>
          <w:tcPr>
            <w:tcW w:w="887" w:type="dxa"/>
          </w:tcPr>
          <w:p w14:paraId="6CE5260C" w14:textId="77777777" w:rsidR="0042504F" w:rsidRPr="00406187" w:rsidRDefault="0042504F" w:rsidP="0063690F">
            <w:pPr>
              <w:rPr>
                <w:sz w:val="20"/>
                <w:szCs w:val="20"/>
                <w:lang w:val="en-IE"/>
              </w:rPr>
            </w:pPr>
          </w:p>
        </w:tc>
        <w:tc>
          <w:tcPr>
            <w:tcW w:w="989" w:type="dxa"/>
            <w:vAlign w:val="bottom"/>
          </w:tcPr>
          <w:p w14:paraId="2DF19804" w14:textId="77777777" w:rsidR="0042504F" w:rsidRPr="00406187" w:rsidRDefault="0042504F" w:rsidP="0063690F">
            <w:pPr>
              <w:jc w:val="right"/>
              <w:rPr>
                <w:sz w:val="20"/>
                <w:szCs w:val="20"/>
                <w:lang w:val="en-IE"/>
              </w:rPr>
            </w:pPr>
            <w:r w:rsidRPr="00406187">
              <w:rPr>
                <w:sz w:val="20"/>
                <w:szCs w:val="20"/>
                <w:lang w:val="en-IE"/>
              </w:rPr>
              <w:t>1.030</w:t>
            </w:r>
          </w:p>
        </w:tc>
        <w:tc>
          <w:tcPr>
            <w:tcW w:w="887" w:type="dxa"/>
          </w:tcPr>
          <w:p w14:paraId="28619C75" w14:textId="77777777" w:rsidR="0042504F" w:rsidRPr="00406187" w:rsidRDefault="0042504F" w:rsidP="0063690F">
            <w:pPr>
              <w:rPr>
                <w:sz w:val="20"/>
                <w:szCs w:val="20"/>
                <w:lang w:val="en-IE"/>
              </w:rPr>
            </w:pPr>
          </w:p>
        </w:tc>
        <w:tc>
          <w:tcPr>
            <w:tcW w:w="989" w:type="dxa"/>
            <w:vAlign w:val="bottom"/>
          </w:tcPr>
          <w:p w14:paraId="43BC0786" w14:textId="77777777" w:rsidR="0042504F" w:rsidRPr="00406187" w:rsidRDefault="0042504F" w:rsidP="0063690F">
            <w:pPr>
              <w:jc w:val="right"/>
              <w:rPr>
                <w:sz w:val="20"/>
                <w:szCs w:val="20"/>
                <w:lang w:val="en-IE"/>
              </w:rPr>
            </w:pPr>
            <w:r w:rsidRPr="00406187">
              <w:rPr>
                <w:sz w:val="20"/>
                <w:szCs w:val="20"/>
                <w:lang w:val="en-IE"/>
              </w:rPr>
              <w:t>1.063</w:t>
            </w:r>
          </w:p>
        </w:tc>
        <w:tc>
          <w:tcPr>
            <w:tcW w:w="887" w:type="dxa"/>
          </w:tcPr>
          <w:p w14:paraId="1F798369" w14:textId="77777777" w:rsidR="0042504F" w:rsidRPr="00406187" w:rsidRDefault="0042504F" w:rsidP="0063690F">
            <w:pPr>
              <w:rPr>
                <w:sz w:val="20"/>
                <w:szCs w:val="20"/>
                <w:lang w:val="en-IE"/>
              </w:rPr>
            </w:pPr>
          </w:p>
        </w:tc>
      </w:tr>
      <w:tr w:rsidR="00406187" w:rsidRPr="00406187" w14:paraId="5243A09B" w14:textId="77777777" w:rsidTr="00406187">
        <w:tc>
          <w:tcPr>
            <w:tcW w:w="2802" w:type="dxa"/>
            <w:vAlign w:val="bottom"/>
          </w:tcPr>
          <w:p w14:paraId="5A75C0DE" w14:textId="77777777" w:rsidR="0042504F" w:rsidRPr="00406187" w:rsidRDefault="0042504F" w:rsidP="0063690F">
            <w:pPr>
              <w:rPr>
                <w:sz w:val="20"/>
                <w:szCs w:val="20"/>
                <w:lang w:val="en-IE"/>
              </w:rPr>
            </w:pPr>
            <w:r w:rsidRPr="00406187">
              <w:rPr>
                <w:sz w:val="20"/>
                <w:szCs w:val="20"/>
                <w:lang w:val="en-IE"/>
              </w:rPr>
              <w:t xml:space="preserve">  No distance info</w:t>
            </w:r>
          </w:p>
        </w:tc>
        <w:tc>
          <w:tcPr>
            <w:tcW w:w="258" w:type="dxa"/>
          </w:tcPr>
          <w:p w14:paraId="7274DDF6" w14:textId="77777777" w:rsidR="0042504F" w:rsidRPr="00406187" w:rsidRDefault="0042504F" w:rsidP="0063690F">
            <w:pPr>
              <w:rPr>
                <w:sz w:val="20"/>
                <w:szCs w:val="20"/>
                <w:lang w:val="en-IE"/>
              </w:rPr>
            </w:pPr>
          </w:p>
        </w:tc>
        <w:tc>
          <w:tcPr>
            <w:tcW w:w="888" w:type="dxa"/>
          </w:tcPr>
          <w:p w14:paraId="087413FE" w14:textId="77777777" w:rsidR="0042504F" w:rsidRPr="00406187" w:rsidRDefault="0042504F" w:rsidP="0063690F">
            <w:pPr>
              <w:rPr>
                <w:sz w:val="20"/>
                <w:szCs w:val="20"/>
                <w:lang w:val="en-IE"/>
              </w:rPr>
            </w:pPr>
          </w:p>
        </w:tc>
        <w:tc>
          <w:tcPr>
            <w:tcW w:w="989" w:type="dxa"/>
          </w:tcPr>
          <w:p w14:paraId="682FA0DB" w14:textId="77777777" w:rsidR="0042504F" w:rsidRPr="00406187" w:rsidRDefault="0042504F" w:rsidP="0063690F">
            <w:pPr>
              <w:rPr>
                <w:sz w:val="20"/>
                <w:szCs w:val="20"/>
                <w:lang w:val="en-IE"/>
              </w:rPr>
            </w:pPr>
          </w:p>
        </w:tc>
        <w:tc>
          <w:tcPr>
            <w:tcW w:w="887" w:type="dxa"/>
          </w:tcPr>
          <w:p w14:paraId="063AEA7F" w14:textId="77777777" w:rsidR="0042504F" w:rsidRPr="00406187" w:rsidRDefault="0042504F" w:rsidP="0063690F">
            <w:pPr>
              <w:rPr>
                <w:sz w:val="20"/>
                <w:szCs w:val="20"/>
                <w:lang w:val="en-IE"/>
              </w:rPr>
            </w:pPr>
          </w:p>
        </w:tc>
        <w:tc>
          <w:tcPr>
            <w:tcW w:w="989" w:type="dxa"/>
            <w:vAlign w:val="bottom"/>
          </w:tcPr>
          <w:p w14:paraId="1D42C40F" w14:textId="77777777" w:rsidR="0042504F" w:rsidRPr="00406187" w:rsidRDefault="0042504F" w:rsidP="0063690F">
            <w:pPr>
              <w:jc w:val="right"/>
              <w:rPr>
                <w:sz w:val="20"/>
                <w:szCs w:val="20"/>
                <w:lang w:val="en-IE"/>
              </w:rPr>
            </w:pPr>
            <w:r w:rsidRPr="00406187">
              <w:rPr>
                <w:sz w:val="20"/>
                <w:szCs w:val="20"/>
                <w:lang w:val="en-IE"/>
              </w:rPr>
              <w:t>0.621</w:t>
            </w:r>
          </w:p>
        </w:tc>
        <w:tc>
          <w:tcPr>
            <w:tcW w:w="887" w:type="dxa"/>
            <w:vAlign w:val="bottom"/>
          </w:tcPr>
          <w:p w14:paraId="25683696"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2A02E8BE" w14:textId="77777777" w:rsidR="0042504F" w:rsidRPr="00406187" w:rsidRDefault="0042504F" w:rsidP="0063690F">
            <w:pPr>
              <w:jc w:val="right"/>
              <w:rPr>
                <w:sz w:val="20"/>
                <w:szCs w:val="20"/>
                <w:lang w:val="en-IE"/>
              </w:rPr>
            </w:pPr>
            <w:r w:rsidRPr="00406187">
              <w:rPr>
                <w:sz w:val="20"/>
                <w:szCs w:val="20"/>
                <w:lang w:val="en-IE"/>
              </w:rPr>
              <w:t>0.672</w:t>
            </w:r>
          </w:p>
        </w:tc>
        <w:tc>
          <w:tcPr>
            <w:tcW w:w="887" w:type="dxa"/>
            <w:vAlign w:val="bottom"/>
          </w:tcPr>
          <w:p w14:paraId="4CA7891B"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505B9460" w14:textId="77777777" w:rsidTr="00406187">
        <w:tc>
          <w:tcPr>
            <w:tcW w:w="2802" w:type="dxa"/>
            <w:vAlign w:val="bottom"/>
          </w:tcPr>
          <w:p w14:paraId="0775454F" w14:textId="77777777" w:rsidR="0042504F" w:rsidRPr="00406187" w:rsidRDefault="0042504F" w:rsidP="0063690F">
            <w:pPr>
              <w:rPr>
                <w:sz w:val="20"/>
                <w:szCs w:val="20"/>
                <w:lang w:val="en-IE"/>
              </w:rPr>
            </w:pPr>
            <w:r w:rsidRPr="00406187">
              <w:rPr>
                <w:sz w:val="20"/>
                <w:szCs w:val="20"/>
                <w:lang w:val="en-IE"/>
              </w:rPr>
              <w:t>School type</w:t>
            </w:r>
          </w:p>
        </w:tc>
        <w:tc>
          <w:tcPr>
            <w:tcW w:w="258" w:type="dxa"/>
          </w:tcPr>
          <w:p w14:paraId="38F0A9DD" w14:textId="77777777" w:rsidR="0042504F" w:rsidRPr="00406187" w:rsidRDefault="0042504F" w:rsidP="0063690F">
            <w:pPr>
              <w:rPr>
                <w:sz w:val="20"/>
                <w:szCs w:val="20"/>
                <w:lang w:val="en-IE"/>
              </w:rPr>
            </w:pPr>
          </w:p>
        </w:tc>
        <w:tc>
          <w:tcPr>
            <w:tcW w:w="888" w:type="dxa"/>
          </w:tcPr>
          <w:p w14:paraId="03B145AD" w14:textId="77777777" w:rsidR="0042504F" w:rsidRPr="00406187" w:rsidRDefault="0042504F" w:rsidP="0063690F">
            <w:pPr>
              <w:rPr>
                <w:sz w:val="20"/>
                <w:szCs w:val="20"/>
                <w:lang w:val="en-IE"/>
              </w:rPr>
            </w:pPr>
          </w:p>
        </w:tc>
        <w:tc>
          <w:tcPr>
            <w:tcW w:w="989" w:type="dxa"/>
          </w:tcPr>
          <w:p w14:paraId="42CAAEC7" w14:textId="77777777" w:rsidR="0042504F" w:rsidRPr="00406187" w:rsidRDefault="0042504F" w:rsidP="0063690F">
            <w:pPr>
              <w:rPr>
                <w:sz w:val="20"/>
                <w:szCs w:val="20"/>
                <w:lang w:val="en-IE"/>
              </w:rPr>
            </w:pPr>
          </w:p>
        </w:tc>
        <w:tc>
          <w:tcPr>
            <w:tcW w:w="887" w:type="dxa"/>
          </w:tcPr>
          <w:p w14:paraId="749FD338" w14:textId="77777777" w:rsidR="0042504F" w:rsidRPr="00406187" w:rsidRDefault="0042504F" w:rsidP="0063690F">
            <w:pPr>
              <w:rPr>
                <w:sz w:val="20"/>
                <w:szCs w:val="20"/>
                <w:lang w:val="en-IE"/>
              </w:rPr>
            </w:pPr>
          </w:p>
        </w:tc>
        <w:tc>
          <w:tcPr>
            <w:tcW w:w="989" w:type="dxa"/>
          </w:tcPr>
          <w:p w14:paraId="3276FDC3" w14:textId="77777777" w:rsidR="0042504F" w:rsidRPr="00406187" w:rsidRDefault="0042504F" w:rsidP="0063690F">
            <w:pPr>
              <w:rPr>
                <w:sz w:val="20"/>
                <w:szCs w:val="20"/>
                <w:lang w:val="en-IE"/>
              </w:rPr>
            </w:pPr>
          </w:p>
        </w:tc>
        <w:tc>
          <w:tcPr>
            <w:tcW w:w="887" w:type="dxa"/>
          </w:tcPr>
          <w:p w14:paraId="19F1E368" w14:textId="77777777" w:rsidR="0042504F" w:rsidRPr="00406187" w:rsidRDefault="0042504F" w:rsidP="0063690F">
            <w:pPr>
              <w:rPr>
                <w:sz w:val="20"/>
                <w:szCs w:val="20"/>
                <w:lang w:val="en-IE"/>
              </w:rPr>
            </w:pPr>
          </w:p>
        </w:tc>
        <w:tc>
          <w:tcPr>
            <w:tcW w:w="989" w:type="dxa"/>
          </w:tcPr>
          <w:p w14:paraId="6FADBDC8" w14:textId="77777777" w:rsidR="0042504F" w:rsidRPr="00406187" w:rsidRDefault="0042504F" w:rsidP="0063690F">
            <w:pPr>
              <w:rPr>
                <w:sz w:val="20"/>
                <w:szCs w:val="20"/>
                <w:lang w:val="en-IE"/>
              </w:rPr>
            </w:pPr>
          </w:p>
        </w:tc>
        <w:tc>
          <w:tcPr>
            <w:tcW w:w="887" w:type="dxa"/>
          </w:tcPr>
          <w:p w14:paraId="775699EA" w14:textId="77777777" w:rsidR="0042504F" w:rsidRPr="00406187" w:rsidRDefault="0042504F" w:rsidP="0063690F">
            <w:pPr>
              <w:rPr>
                <w:sz w:val="20"/>
                <w:szCs w:val="20"/>
                <w:lang w:val="en-IE"/>
              </w:rPr>
            </w:pPr>
          </w:p>
        </w:tc>
      </w:tr>
      <w:tr w:rsidR="00406187" w:rsidRPr="00406187" w14:paraId="4D2EC600" w14:textId="77777777" w:rsidTr="00406187">
        <w:tc>
          <w:tcPr>
            <w:tcW w:w="2802" w:type="dxa"/>
            <w:vAlign w:val="bottom"/>
          </w:tcPr>
          <w:p w14:paraId="64581624" w14:textId="683A9427" w:rsidR="0042504F" w:rsidRPr="00406187" w:rsidRDefault="0042504F" w:rsidP="0063690F">
            <w:pPr>
              <w:rPr>
                <w:sz w:val="20"/>
                <w:szCs w:val="20"/>
                <w:lang w:val="en-IE"/>
              </w:rPr>
            </w:pPr>
            <w:r w:rsidRPr="00406187">
              <w:rPr>
                <w:sz w:val="20"/>
                <w:szCs w:val="20"/>
                <w:lang w:val="en-IE"/>
              </w:rPr>
              <w:t xml:space="preserve">  </w:t>
            </w:r>
            <w:r w:rsidR="00235FD4">
              <w:rPr>
                <w:sz w:val="20"/>
                <w:szCs w:val="20"/>
                <w:lang w:val="en-IE"/>
              </w:rPr>
              <w:t>DEIS</w:t>
            </w:r>
          </w:p>
        </w:tc>
        <w:tc>
          <w:tcPr>
            <w:tcW w:w="258" w:type="dxa"/>
          </w:tcPr>
          <w:p w14:paraId="2256592B" w14:textId="77777777" w:rsidR="0042504F" w:rsidRPr="00406187" w:rsidRDefault="0042504F" w:rsidP="0063690F">
            <w:pPr>
              <w:rPr>
                <w:sz w:val="20"/>
                <w:szCs w:val="20"/>
                <w:lang w:val="en-IE"/>
              </w:rPr>
            </w:pPr>
          </w:p>
        </w:tc>
        <w:tc>
          <w:tcPr>
            <w:tcW w:w="888" w:type="dxa"/>
          </w:tcPr>
          <w:p w14:paraId="65A78449" w14:textId="77777777" w:rsidR="0042504F" w:rsidRPr="00406187" w:rsidRDefault="0042504F" w:rsidP="0063690F">
            <w:pPr>
              <w:rPr>
                <w:sz w:val="20"/>
                <w:szCs w:val="20"/>
                <w:lang w:val="en-IE"/>
              </w:rPr>
            </w:pPr>
          </w:p>
        </w:tc>
        <w:tc>
          <w:tcPr>
            <w:tcW w:w="989" w:type="dxa"/>
          </w:tcPr>
          <w:p w14:paraId="668AD12A" w14:textId="77777777" w:rsidR="0042504F" w:rsidRPr="00406187" w:rsidRDefault="0042504F" w:rsidP="0063690F">
            <w:pPr>
              <w:rPr>
                <w:sz w:val="20"/>
                <w:szCs w:val="20"/>
                <w:lang w:val="en-IE"/>
              </w:rPr>
            </w:pPr>
          </w:p>
        </w:tc>
        <w:tc>
          <w:tcPr>
            <w:tcW w:w="887" w:type="dxa"/>
          </w:tcPr>
          <w:p w14:paraId="768720A1" w14:textId="77777777" w:rsidR="0042504F" w:rsidRPr="00406187" w:rsidRDefault="0042504F" w:rsidP="0063690F">
            <w:pPr>
              <w:rPr>
                <w:sz w:val="20"/>
                <w:szCs w:val="20"/>
                <w:lang w:val="en-IE"/>
              </w:rPr>
            </w:pPr>
          </w:p>
        </w:tc>
        <w:tc>
          <w:tcPr>
            <w:tcW w:w="989" w:type="dxa"/>
          </w:tcPr>
          <w:p w14:paraId="38FBC1AA" w14:textId="77777777" w:rsidR="0042504F" w:rsidRPr="00406187" w:rsidRDefault="0042504F" w:rsidP="0063690F">
            <w:pPr>
              <w:rPr>
                <w:sz w:val="20"/>
                <w:szCs w:val="20"/>
                <w:lang w:val="en-IE"/>
              </w:rPr>
            </w:pPr>
          </w:p>
        </w:tc>
        <w:tc>
          <w:tcPr>
            <w:tcW w:w="887" w:type="dxa"/>
          </w:tcPr>
          <w:p w14:paraId="2D41764B" w14:textId="77777777" w:rsidR="0042504F" w:rsidRPr="00406187" w:rsidRDefault="0042504F" w:rsidP="0063690F">
            <w:pPr>
              <w:rPr>
                <w:sz w:val="20"/>
                <w:szCs w:val="20"/>
                <w:lang w:val="en-IE"/>
              </w:rPr>
            </w:pPr>
          </w:p>
        </w:tc>
        <w:tc>
          <w:tcPr>
            <w:tcW w:w="989" w:type="dxa"/>
            <w:vAlign w:val="bottom"/>
          </w:tcPr>
          <w:p w14:paraId="4363E56D" w14:textId="77777777" w:rsidR="0042504F" w:rsidRPr="00406187" w:rsidRDefault="0042504F" w:rsidP="0063690F">
            <w:pPr>
              <w:jc w:val="right"/>
              <w:rPr>
                <w:sz w:val="20"/>
                <w:szCs w:val="20"/>
                <w:lang w:val="en-IE"/>
              </w:rPr>
            </w:pPr>
            <w:r w:rsidRPr="00406187">
              <w:rPr>
                <w:sz w:val="20"/>
                <w:szCs w:val="20"/>
                <w:lang w:val="en-IE"/>
              </w:rPr>
              <w:t>1.201</w:t>
            </w:r>
          </w:p>
        </w:tc>
        <w:tc>
          <w:tcPr>
            <w:tcW w:w="887" w:type="dxa"/>
            <w:vAlign w:val="bottom"/>
          </w:tcPr>
          <w:p w14:paraId="6A6559B1"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56AEF96B" w14:textId="77777777" w:rsidTr="00406187">
        <w:tc>
          <w:tcPr>
            <w:tcW w:w="2802" w:type="dxa"/>
            <w:vAlign w:val="bottom"/>
          </w:tcPr>
          <w:p w14:paraId="166EBAA8" w14:textId="77777777" w:rsidR="0042504F" w:rsidRPr="00406187" w:rsidRDefault="0042504F" w:rsidP="0063690F">
            <w:pPr>
              <w:rPr>
                <w:sz w:val="20"/>
                <w:szCs w:val="20"/>
                <w:lang w:val="en-IE"/>
              </w:rPr>
            </w:pPr>
            <w:r w:rsidRPr="00406187">
              <w:rPr>
                <w:sz w:val="20"/>
                <w:szCs w:val="20"/>
                <w:lang w:val="en-IE"/>
              </w:rPr>
              <w:t xml:space="preserve">  Fee Paying</w:t>
            </w:r>
          </w:p>
        </w:tc>
        <w:tc>
          <w:tcPr>
            <w:tcW w:w="258" w:type="dxa"/>
          </w:tcPr>
          <w:p w14:paraId="30FB6B8A" w14:textId="77777777" w:rsidR="0042504F" w:rsidRPr="00406187" w:rsidRDefault="0042504F" w:rsidP="0063690F">
            <w:pPr>
              <w:rPr>
                <w:sz w:val="20"/>
                <w:szCs w:val="20"/>
                <w:lang w:val="en-IE"/>
              </w:rPr>
            </w:pPr>
          </w:p>
        </w:tc>
        <w:tc>
          <w:tcPr>
            <w:tcW w:w="888" w:type="dxa"/>
          </w:tcPr>
          <w:p w14:paraId="385962ED" w14:textId="77777777" w:rsidR="0042504F" w:rsidRPr="00406187" w:rsidRDefault="0042504F" w:rsidP="0063690F">
            <w:pPr>
              <w:rPr>
                <w:sz w:val="20"/>
                <w:szCs w:val="20"/>
                <w:lang w:val="en-IE"/>
              </w:rPr>
            </w:pPr>
          </w:p>
        </w:tc>
        <w:tc>
          <w:tcPr>
            <w:tcW w:w="989" w:type="dxa"/>
          </w:tcPr>
          <w:p w14:paraId="5834F71C" w14:textId="77777777" w:rsidR="0042504F" w:rsidRPr="00406187" w:rsidRDefault="0042504F" w:rsidP="0063690F">
            <w:pPr>
              <w:rPr>
                <w:sz w:val="20"/>
                <w:szCs w:val="20"/>
                <w:lang w:val="en-IE"/>
              </w:rPr>
            </w:pPr>
          </w:p>
        </w:tc>
        <w:tc>
          <w:tcPr>
            <w:tcW w:w="887" w:type="dxa"/>
          </w:tcPr>
          <w:p w14:paraId="02F8E549" w14:textId="77777777" w:rsidR="0042504F" w:rsidRPr="00406187" w:rsidRDefault="0042504F" w:rsidP="0063690F">
            <w:pPr>
              <w:rPr>
                <w:sz w:val="20"/>
                <w:szCs w:val="20"/>
                <w:lang w:val="en-IE"/>
              </w:rPr>
            </w:pPr>
          </w:p>
        </w:tc>
        <w:tc>
          <w:tcPr>
            <w:tcW w:w="989" w:type="dxa"/>
          </w:tcPr>
          <w:p w14:paraId="2180DB84" w14:textId="77777777" w:rsidR="0042504F" w:rsidRPr="00406187" w:rsidRDefault="0042504F" w:rsidP="0063690F">
            <w:pPr>
              <w:rPr>
                <w:sz w:val="20"/>
                <w:szCs w:val="20"/>
                <w:lang w:val="en-IE"/>
              </w:rPr>
            </w:pPr>
          </w:p>
        </w:tc>
        <w:tc>
          <w:tcPr>
            <w:tcW w:w="887" w:type="dxa"/>
          </w:tcPr>
          <w:p w14:paraId="6772210F" w14:textId="77777777" w:rsidR="0042504F" w:rsidRPr="00406187" w:rsidRDefault="0042504F" w:rsidP="0063690F">
            <w:pPr>
              <w:rPr>
                <w:sz w:val="20"/>
                <w:szCs w:val="20"/>
                <w:lang w:val="en-IE"/>
              </w:rPr>
            </w:pPr>
          </w:p>
        </w:tc>
        <w:tc>
          <w:tcPr>
            <w:tcW w:w="989" w:type="dxa"/>
            <w:vAlign w:val="bottom"/>
          </w:tcPr>
          <w:p w14:paraId="206B1F95" w14:textId="77777777" w:rsidR="0042504F" w:rsidRPr="00406187" w:rsidRDefault="0042504F" w:rsidP="0063690F">
            <w:pPr>
              <w:jc w:val="right"/>
              <w:rPr>
                <w:sz w:val="20"/>
                <w:szCs w:val="20"/>
                <w:lang w:val="en-IE"/>
              </w:rPr>
            </w:pPr>
            <w:r w:rsidRPr="00406187">
              <w:rPr>
                <w:sz w:val="20"/>
                <w:szCs w:val="20"/>
                <w:lang w:val="en-IE"/>
              </w:rPr>
              <w:t>1.023</w:t>
            </w:r>
          </w:p>
        </w:tc>
        <w:tc>
          <w:tcPr>
            <w:tcW w:w="887" w:type="dxa"/>
          </w:tcPr>
          <w:p w14:paraId="48A75685" w14:textId="77777777" w:rsidR="0042504F" w:rsidRPr="00406187" w:rsidRDefault="0042504F" w:rsidP="0063690F">
            <w:pPr>
              <w:rPr>
                <w:sz w:val="20"/>
                <w:szCs w:val="20"/>
                <w:lang w:val="en-IE"/>
              </w:rPr>
            </w:pPr>
          </w:p>
        </w:tc>
      </w:tr>
      <w:tr w:rsidR="00406187" w:rsidRPr="00406187" w14:paraId="396FDC86" w14:textId="77777777" w:rsidTr="00406187">
        <w:tc>
          <w:tcPr>
            <w:tcW w:w="2802" w:type="dxa"/>
            <w:vAlign w:val="bottom"/>
          </w:tcPr>
          <w:p w14:paraId="11A35431" w14:textId="77777777" w:rsidR="0042504F" w:rsidRPr="00406187" w:rsidRDefault="0042504F" w:rsidP="0063690F">
            <w:pPr>
              <w:rPr>
                <w:sz w:val="20"/>
                <w:szCs w:val="20"/>
                <w:lang w:val="en-IE"/>
              </w:rPr>
            </w:pPr>
            <w:r w:rsidRPr="00406187">
              <w:rPr>
                <w:sz w:val="20"/>
                <w:szCs w:val="20"/>
                <w:lang w:val="en-IE"/>
              </w:rPr>
              <w:t xml:space="preserve">  Grind</w:t>
            </w:r>
          </w:p>
        </w:tc>
        <w:tc>
          <w:tcPr>
            <w:tcW w:w="258" w:type="dxa"/>
          </w:tcPr>
          <w:p w14:paraId="41E198DE" w14:textId="77777777" w:rsidR="0042504F" w:rsidRPr="00406187" w:rsidRDefault="0042504F" w:rsidP="0063690F">
            <w:pPr>
              <w:rPr>
                <w:sz w:val="20"/>
                <w:szCs w:val="20"/>
                <w:lang w:val="en-IE"/>
              </w:rPr>
            </w:pPr>
          </w:p>
        </w:tc>
        <w:tc>
          <w:tcPr>
            <w:tcW w:w="888" w:type="dxa"/>
          </w:tcPr>
          <w:p w14:paraId="06B257EA" w14:textId="77777777" w:rsidR="0042504F" w:rsidRPr="00406187" w:rsidRDefault="0042504F" w:rsidP="0063690F">
            <w:pPr>
              <w:rPr>
                <w:sz w:val="20"/>
                <w:szCs w:val="20"/>
                <w:lang w:val="en-IE"/>
              </w:rPr>
            </w:pPr>
          </w:p>
        </w:tc>
        <w:tc>
          <w:tcPr>
            <w:tcW w:w="989" w:type="dxa"/>
          </w:tcPr>
          <w:p w14:paraId="02E368A1" w14:textId="77777777" w:rsidR="0042504F" w:rsidRPr="00406187" w:rsidRDefault="0042504F" w:rsidP="0063690F">
            <w:pPr>
              <w:rPr>
                <w:sz w:val="20"/>
                <w:szCs w:val="20"/>
                <w:lang w:val="en-IE"/>
              </w:rPr>
            </w:pPr>
          </w:p>
        </w:tc>
        <w:tc>
          <w:tcPr>
            <w:tcW w:w="887" w:type="dxa"/>
          </w:tcPr>
          <w:p w14:paraId="693199F0" w14:textId="77777777" w:rsidR="0042504F" w:rsidRPr="00406187" w:rsidRDefault="0042504F" w:rsidP="0063690F">
            <w:pPr>
              <w:rPr>
                <w:sz w:val="20"/>
                <w:szCs w:val="20"/>
                <w:lang w:val="en-IE"/>
              </w:rPr>
            </w:pPr>
          </w:p>
        </w:tc>
        <w:tc>
          <w:tcPr>
            <w:tcW w:w="989" w:type="dxa"/>
          </w:tcPr>
          <w:p w14:paraId="2EEB87E6" w14:textId="77777777" w:rsidR="0042504F" w:rsidRPr="00406187" w:rsidRDefault="0042504F" w:rsidP="0063690F">
            <w:pPr>
              <w:rPr>
                <w:sz w:val="20"/>
                <w:szCs w:val="20"/>
                <w:lang w:val="en-IE"/>
              </w:rPr>
            </w:pPr>
          </w:p>
        </w:tc>
        <w:tc>
          <w:tcPr>
            <w:tcW w:w="887" w:type="dxa"/>
          </w:tcPr>
          <w:p w14:paraId="1CC948C4" w14:textId="77777777" w:rsidR="0042504F" w:rsidRPr="00406187" w:rsidRDefault="0042504F" w:rsidP="0063690F">
            <w:pPr>
              <w:rPr>
                <w:sz w:val="20"/>
                <w:szCs w:val="20"/>
                <w:lang w:val="en-IE"/>
              </w:rPr>
            </w:pPr>
          </w:p>
        </w:tc>
        <w:tc>
          <w:tcPr>
            <w:tcW w:w="989" w:type="dxa"/>
            <w:vAlign w:val="bottom"/>
          </w:tcPr>
          <w:p w14:paraId="70F9423E" w14:textId="77777777" w:rsidR="0042504F" w:rsidRPr="00406187" w:rsidRDefault="0042504F" w:rsidP="0063690F">
            <w:pPr>
              <w:jc w:val="right"/>
              <w:rPr>
                <w:sz w:val="20"/>
                <w:szCs w:val="20"/>
                <w:lang w:val="en-IE"/>
              </w:rPr>
            </w:pPr>
            <w:r w:rsidRPr="00406187">
              <w:rPr>
                <w:sz w:val="20"/>
                <w:szCs w:val="20"/>
                <w:lang w:val="en-IE"/>
              </w:rPr>
              <w:t>1.865</w:t>
            </w:r>
          </w:p>
        </w:tc>
        <w:tc>
          <w:tcPr>
            <w:tcW w:w="887" w:type="dxa"/>
            <w:vAlign w:val="bottom"/>
          </w:tcPr>
          <w:p w14:paraId="256F49D3"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7B01918C" w14:textId="77777777" w:rsidTr="00406187">
        <w:tc>
          <w:tcPr>
            <w:tcW w:w="2802" w:type="dxa"/>
            <w:vAlign w:val="bottom"/>
          </w:tcPr>
          <w:p w14:paraId="136BD55A" w14:textId="77777777" w:rsidR="0042504F" w:rsidRPr="00406187" w:rsidRDefault="0042504F" w:rsidP="0063690F">
            <w:pPr>
              <w:rPr>
                <w:sz w:val="20"/>
                <w:szCs w:val="20"/>
                <w:lang w:val="en-IE"/>
              </w:rPr>
            </w:pPr>
            <w:r w:rsidRPr="00406187">
              <w:rPr>
                <w:sz w:val="20"/>
                <w:szCs w:val="20"/>
                <w:lang w:val="en-IE"/>
              </w:rPr>
              <w:t xml:space="preserve">  Unknown</w:t>
            </w:r>
          </w:p>
        </w:tc>
        <w:tc>
          <w:tcPr>
            <w:tcW w:w="258" w:type="dxa"/>
          </w:tcPr>
          <w:p w14:paraId="2AE49AEA" w14:textId="77777777" w:rsidR="0042504F" w:rsidRPr="00406187" w:rsidRDefault="0042504F" w:rsidP="0063690F">
            <w:pPr>
              <w:rPr>
                <w:sz w:val="20"/>
                <w:szCs w:val="20"/>
                <w:lang w:val="en-IE"/>
              </w:rPr>
            </w:pPr>
          </w:p>
        </w:tc>
        <w:tc>
          <w:tcPr>
            <w:tcW w:w="888" w:type="dxa"/>
          </w:tcPr>
          <w:p w14:paraId="1F17C5D9" w14:textId="77777777" w:rsidR="0042504F" w:rsidRPr="00406187" w:rsidRDefault="0042504F" w:rsidP="0063690F">
            <w:pPr>
              <w:rPr>
                <w:sz w:val="20"/>
                <w:szCs w:val="20"/>
                <w:lang w:val="en-IE"/>
              </w:rPr>
            </w:pPr>
          </w:p>
        </w:tc>
        <w:tc>
          <w:tcPr>
            <w:tcW w:w="989" w:type="dxa"/>
          </w:tcPr>
          <w:p w14:paraId="6E0DCA34" w14:textId="77777777" w:rsidR="0042504F" w:rsidRPr="00406187" w:rsidRDefault="0042504F" w:rsidP="0063690F">
            <w:pPr>
              <w:rPr>
                <w:sz w:val="20"/>
                <w:szCs w:val="20"/>
                <w:lang w:val="en-IE"/>
              </w:rPr>
            </w:pPr>
          </w:p>
        </w:tc>
        <w:tc>
          <w:tcPr>
            <w:tcW w:w="887" w:type="dxa"/>
          </w:tcPr>
          <w:p w14:paraId="22132BD2" w14:textId="77777777" w:rsidR="0042504F" w:rsidRPr="00406187" w:rsidRDefault="0042504F" w:rsidP="0063690F">
            <w:pPr>
              <w:rPr>
                <w:sz w:val="20"/>
                <w:szCs w:val="20"/>
                <w:lang w:val="en-IE"/>
              </w:rPr>
            </w:pPr>
          </w:p>
        </w:tc>
        <w:tc>
          <w:tcPr>
            <w:tcW w:w="989" w:type="dxa"/>
          </w:tcPr>
          <w:p w14:paraId="5484E5BD" w14:textId="77777777" w:rsidR="0042504F" w:rsidRPr="00406187" w:rsidRDefault="0042504F" w:rsidP="0063690F">
            <w:pPr>
              <w:rPr>
                <w:sz w:val="20"/>
                <w:szCs w:val="20"/>
                <w:lang w:val="en-IE"/>
              </w:rPr>
            </w:pPr>
          </w:p>
        </w:tc>
        <w:tc>
          <w:tcPr>
            <w:tcW w:w="887" w:type="dxa"/>
          </w:tcPr>
          <w:p w14:paraId="096E6452" w14:textId="77777777" w:rsidR="0042504F" w:rsidRPr="00406187" w:rsidRDefault="0042504F" w:rsidP="0063690F">
            <w:pPr>
              <w:rPr>
                <w:sz w:val="20"/>
                <w:szCs w:val="20"/>
                <w:lang w:val="en-IE"/>
              </w:rPr>
            </w:pPr>
          </w:p>
        </w:tc>
        <w:tc>
          <w:tcPr>
            <w:tcW w:w="989" w:type="dxa"/>
            <w:vAlign w:val="bottom"/>
          </w:tcPr>
          <w:p w14:paraId="6B0B5D67" w14:textId="77777777" w:rsidR="0042504F" w:rsidRPr="00406187" w:rsidRDefault="0042504F" w:rsidP="0063690F">
            <w:pPr>
              <w:jc w:val="right"/>
              <w:rPr>
                <w:sz w:val="20"/>
                <w:szCs w:val="20"/>
                <w:lang w:val="en-IE"/>
              </w:rPr>
            </w:pPr>
            <w:r w:rsidRPr="00406187">
              <w:rPr>
                <w:sz w:val="20"/>
                <w:szCs w:val="20"/>
                <w:lang w:val="en-IE"/>
              </w:rPr>
              <w:t>1.253</w:t>
            </w:r>
          </w:p>
        </w:tc>
        <w:tc>
          <w:tcPr>
            <w:tcW w:w="887" w:type="dxa"/>
            <w:vAlign w:val="bottom"/>
          </w:tcPr>
          <w:p w14:paraId="2E0B1A6D"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04AB171E" w14:textId="77777777" w:rsidTr="00406187">
        <w:tc>
          <w:tcPr>
            <w:tcW w:w="2802" w:type="dxa"/>
            <w:vAlign w:val="bottom"/>
          </w:tcPr>
          <w:p w14:paraId="0639B2C8" w14:textId="7FBF33AF" w:rsidR="0042504F" w:rsidRPr="00406187" w:rsidRDefault="0042504F" w:rsidP="0063690F">
            <w:pPr>
              <w:rPr>
                <w:sz w:val="20"/>
                <w:szCs w:val="20"/>
                <w:lang w:val="en-IE"/>
              </w:rPr>
            </w:pPr>
            <w:r w:rsidRPr="00406187">
              <w:rPr>
                <w:sz w:val="20"/>
                <w:szCs w:val="20"/>
                <w:lang w:val="en-IE"/>
              </w:rPr>
              <w:t xml:space="preserve">Gender ethos of school attended in </w:t>
            </w:r>
            <w:r w:rsidR="00D11B97" w:rsidRPr="00406187">
              <w:rPr>
                <w:sz w:val="20"/>
                <w:szCs w:val="20"/>
                <w:lang w:val="en-IE"/>
              </w:rPr>
              <w:t>sixth</w:t>
            </w:r>
            <w:r w:rsidRPr="00406187">
              <w:rPr>
                <w:sz w:val="20"/>
                <w:szCs w:val="20"/>
                <w:lang w:val="en-IE"/>
              </w:rPr>
              <w:t xml:space="preserve"> year</w:t>
            </w:r>
          </w:p>
        </w:tc>
        <w:tc>
          <w:tcPr>
            <w:tcW w:w="258" w:type="dxa"/>
          </w:tcPr>
          <w:p w14:paraId="6E8C4D23" w14:textId="77777777" w:rsidR="0042504F" w:rsidRPr="00406187" w:rsidRDefault="0042504F" w:rsidP="0063690F">
            <w:pPr>
              <w:rPr>
                <w:sz w:val="20"/>
                <w:szCs w:val="20"/>
                <w:lang w:val="en-IE"/>
              </w:rPr>
            </w:pPr>
          </w:p>
        </w:tc>
        <w:tc>
          <w:tcPr>
            <w:tcW w:w="888" w:type="dxa"/>
          </w:tcPr>
          <w:p w14:paraId="1778378C" w14:textId="77777777" w:rsidR="0042504F" w:rsidRPr="00406187" w:rsidRDefault="0042504F" w:rsidP="0063690F">
            <w:pPr>
              <w:rPr>
                <w:sz w:val="20"/>
                <w:szCs w:val="20"/>
                <w:lang w:val="en-IE"/>
              </w:rPr>
            </w:pPr>
          </w:p>
        </w:tc>
        <w:tc>
          <w:tcPr>
            <w:tcW w:w="989" w:type="dxa"/>
          </w:tcPr>
          <w:p w14:paraId="79F7A4D6" w14:textId="77777777" w:rsidR="0042504F" w:rsidRPr="00406187" w:rsidRDefault="0042504F" w:rsidP="0063690F">
            <w:pPr>
              <w:rPr>
                <w:sz w:val="20"/>
                <w:szCs w:val="20"/>
                <w:lang w:val="en-IE"/>
              </w:rPr>
            </w:pPr>
          </w:p>
        </w:tc>
        <w:tc>
          <w:tcPr>
            <w:tcW w:w="887" w:type="dxa"/>
          </w:tcPr>
          <w:p w14:paraId="2C7BA1AD" w14:textId="77777777" w:rsidR="0042504F" w:rsidRPr="00406187" w:rsidRDefault="0042504F" w:rsidP="0063690F">
            <w:pPr>
              <w:rPr>
                <w:sz w:val="20"/>
                <w:szCs w:val="20"/>
                <w:lang w:val="en-IE"/>
              </w:rPr>
            </w:pPr>
          </w:p>
        </w:tc>
        <w:tc>
          <w:tcPr>
            <w:tcW w:w="989" w:type="dxa"/>
          </w:tcPr>
          <w:p w14:paraId="1DF62E1C" w14:textId="77777777" w:rsidR="0042504F" w:rsidRPr="00406187" w:rsidRDefault="0042504F" w:rsidP="0063690F">
            <w:pPr>
              <w:rPr>
                <w:sz w:val="20"/>
                <w:szCs w:val="20"/>
                <w:lang w:val="en-IE"/>
              </w:rPr>
            </w:pPr>
          </w:p>
        </w:tc>
        <w:tc>
          <w:tcPr>
            <w:tcW w:w="887" w:type="dxa"/>
          </w:tcPr>
          <w:p w14:paraId="0853ADDC" w14:textId="77777777" w:rsidR="0042504F" w:rsidRPr="00406187" w:rsidRDefault="0042504F" w:rsidP="0063690F">
            <w:pPr>
              <w:rPr>
                <w:sz w:val="20"/>
                <w:szCs w:val="20"/>
                <w:lang w:val="en-IE"/>
              </w:rPr>
            </w:pPr>
          </w:p>
        </w:tc>
        <w:tc>
          <w:tcPr>
            <w:tcW w:w="989" w:type="dxa"/>
          </w:tcPr>
          <w:p w14:paraId="0D41818E" w14:textId="77777777" w:rsidR="0042504F" w:rsidRPr="00406187" w:rsidRDefault="0042504F" w:rsidP="0063690F">
            <w:pPr>
              <w:rPr>
                <w:sz w:val="20"/>
                <w:szCs w:val="20"/>
                <w:lang w:val="en-IE"/>
              </w:rPr>
            </w:pPr>
          </w:p>
        </w:tc>
        <w:tc>
          <w:tcPr>
            <w:tcW w:w="887" w:type="dxa"/>
          </w:tcPr>
          <w:p w14:paraId="2513D3A5" w14:textId="77777777" w:rsidR="0042504F" w:rsidRPr="00406187" w:rsidRDefault="0042504F" w:rsidP="0063690F">
            <w:pPr>
              <w:rPr>
                <w:sz w:val="20"/>
                <w:szCs w:val="20"/>
                <w:lang w:val="en-IE"/>
              </w:rPr>
            </w:pPr>
          </w:p>
        </w:tc>
      </w:tr>
      <w:tr w:rsidR="00406187" w:rsidRPr="00406187" w14:paraId="58354E8D" w14:textId="77777777" w:rsidTr="00406187">
        <w:tc>
          <w:tcPr>
            <w:tcW w:w="2802" w:type="dxa"/>
            <w:vAlign w:val="bottom"/>
          </w:tcPr>
          <w:p w14:paraId="32A299E3" w14:textId="77777777" w:rsidR="0042504F" w:rsidRPr="00406187" w:rsidRDefault="0042504F" w:rsidP="0063690F">
            <w:pPr>
              <w:rPr>
                <w:sz w:val="20"/>
                <w:szCs w:val="20"/>
                <w:lang w:val="en-IE"/>
              </w:rPr>
            </w:pPr>
            <w:r w:rsidRPr="00406187">
              <w:rPr>
                <w:sz w:val="20"/>
                <w:szCs w:val="20"/>
                <w:lang w:val="en-IE"/>
              </w:rPr>
              <w:t xml:space="preserve">  All boys</w:t>
            </w:r>
          </w:p>
        </w:tc>
        <w:tc>
          <w:tcPr>
            <w:tcW w:w="258" w:type="dxa"/>
          </w:tcPr>
          <w:p w14:paraId="22F677F4" w14:textId="77777777" w:rsidR="0042504F" w:rsidRPr="00406187" w:rsidRDefault="0042504F" w:rsidP="0063690F">
            <w:pPr>
              <w:rPr>
                <w:sz w:val="20"/>
                <w:szCs w:val="20"/>
                <w:lang w:val="en-IE"/>
              </w:rPr>
            </w:pPr>
          </w:p>
        </w:tc>
        <w:tc>
          <w:tcPr>
            <w:tcW w:w="888" w:type="dxa"/>
          </w:tcPr>
          <w:p w14:paraId="646480FD" w14:textId="77777777" w:rsidR="0042504F" w:rsidRPr="00406187" w:rsidRDefault="0042504F" w:rsidP="0063690F">
            <w:pPr>
              <w:rPr>
                <w:sz w:val="20"/>
                <w:szCs w:val="20"/>
                <w:lang w:val="en-IE"/>
              </w:rPr>
            </w:pPr>
          </w:p>
        </w:tc>
        <w:tc>
          <w:tcPr>
            <w:tcW w:w="989" w:type="dxa"/>
          </w:tcPr>
          <w:p w14:paraId="7EB55055" w14:textId="77777777" w:rsidR="0042504F" w:rsidRPr="00406187" w:rsidRDefault="0042504F" w:rsidP="0063690F">
            <w:pPr>
              <w:rPr>
                <w:sz w:val="20"/>
                <w:szCs w:val="20"/>
                <w:lang w:val="en-IE"/>
              </w:rPr>
            </w:pPr>
          </w:p>
        </w:tc>
        <w:tc>
          <w:tcPr>
            <w:tcW w:w="887" w:type="dxa"/>
          </w:tcPr>
          <w:p w14:paraId="0CD7D8B3" w14:textId="77777777" w:rsidR="0042504F" w:rsidRPr="00406187" w:rsidRDefault="0042504F" w:rsidP="0063690F">
            <w:pPr>
              <w:rPr>
                <w:sz w:val="20"/>
                <w:szCs w:val="20"/>
                <w:lang w:val="en-IE"/>
              </w:rPr>
            </w:pPr>
          </w:p>
        </w:tc>
        <w:tc>
          <w:tcPr>
            <w:tcW w:w="989" w:type="dxa"/>
          </w:tcPr>
          <w:p w14:paraId="4FA0FC68" w14:textId="77777777" w:rsidR="0042504F" w:rsidRPr="00406187" w:rsidRDefault="0042504F" w:rsidP="0063690F">
            <w:pPr>
              <w:rPr>
                <w:sz w:val="20"/>
                <w:szCs w:val="20"/>
                <w:lang w:val="en-IE"/>
              </w:rPr>
            </w:pPr>
          </w:p>
        </w:tc>
        <w:tc>
          <w:tcPr>
            <w:tcW w:w="887" w:type="dxa"/>
          </w:tcPr>
          <w:p w14:paraId="6DFFF027" w14:textId="77777777" w:rsidR="0042504F" w:rsidRPr="00406187" w:rsidRDefault="0042504F" w:rsidP="0063690F">
            <w:pPr>
              <w:rPr>
                <w:sz w:val="20"/>
                <w:szCs w:val="20"/>
                <w:lang w:val="en-IE"/>
              </w:rPr>
            </w:pPr>
          </w:p>
        </w:tc>
        <w:tc>
          <w:tcPr>
            <w:tcW w:w="989" w:type="dxa"/>
            <w:vAlign w:val="bottom"/>
          </w:tcPr>
          <w:p w14:paraId="0EAD0839" w14:textId="77777777" w:rsidR="0042504F" w:rsidRPr="00406187" w:rsidRDefault="0042504F" w:rsidP="0063690F">
            <w:pPr>
              <w:jc w:val="right"/>
              <w:rPr>
                <w:sz w:val="20"/>
                <w:szCs w:val="20"/>
                <w:lang w:val="en-IE"/>
              </w:rPr>
            </w:pPr>
            <w:r w:rsidRPr="00406187">
              <w:rPr>
                <w:sz w:val="20"/>
                <w:szCs w:val="20"/>
                <w:lang w:val="en-IE"/>
              </w:rPr>
              <w:t>1.117</w:t>
            </w:r>
          </w:p>
        </w:tc>
        <w:tc>
          <w:tcPr>
            <w:tcW w:w="887" w:type="dxa"/>
          </w:tcPr>
          <w:p w14:paraId="1F213685" w14:textId="77777777" w:rsidR="0042504F" w:rsidRPr="00406187" w:rsidRDefault="0042504F" w:rsidP="0063690F">
            <w:pPr>
              <w:rPr>
                <w:sz w:val="20"/>
                <w:szCs w:val="20"/>
                <w:lang w:val="en-IE"/>
              </w:rPr>
            </w:pPr>
          </w:p>
        </w:tc>
      </w:tr>
      <w:tr w:rsidR="00406187" w:rsidRPr="00406187" w14:paraId="3E13A44F" w14:textId="77777777" w:rsidTr="00406187">
        <w:tc>
          <w:tcPr>
            <w:tcW w:w="2802" w:type="dxa"/>
            <w:vAlign w:val="bottom"/>
          </w:tcPr>
          <w:p w14:paraId="101366F2" w14:textId="77777777" w:rsidR="0042504F" w:rsidRPr="00406187" w:rsidRDefault="0042504F" w:rsidP="0063690F">
            <w:pPr>
              <w:rPr>
                <w:sz w:val="20"/>
                <w:szCs w:val="20"/>
                <w:lang w:val="en-IE"/>
              </w:rPr>
            </w:pPr>
            <w:r w:rsidRPr="00406187">
              <w:rPr>
                <w:sz w:val="20"/>
                <w:szCs w:val="20"/>
                <w:lang w:val="en-IE"/>
              </w:rPr>
              <w:t xml:space="preserve">  Mixed</w:t>
            </w:r>
          </w:p>
        </w:tc>
        <w:tc>
          <w:tcPr>
            <w:tcW w:w="258" w:type="dxa"/>
          </w:tcPr>
          <w:p w14:paraId="5360FEB8" w14:textId="77777777" w:rsidR="0042504F" w:rsidRPr="00406187" w:rsidRDefault="0042504F" w:rsidP="0063690F">
            <w:pPr>
              <w:rPr>
                <w:sz w:val="20"/>
                <w:szCs w:val="20"/>
                <w:lang w:val="en-IE"/>
              </w:rPr>
            </w:pPr>
          </w:p>
        </w:tc>
        <w:tc>
          <w:tcPr>
            <w:tcW w:w="888" w:type="dxa"/>
          </w:tcPr>
          <w:p w14:paraId="4B18CA82" w14:textId="77777777" w:rsidR="0042504F" w:rsidRPr="00406187" w:rsidRDefault="0042504F" w:rsidP="0063690F">
            <w:pPr>
              <w:rPr>
                <w:sz w:val="20"/>
                <w:szCs w:val="20"/>
                <w:lang w:val="en-IE"/>
              </w:rPr>
            </w:pPr>
          </w:p>
        </w:tc>
        <w:tc>
          <w:tcPr>
            <w:tcW w:w="989" w:type="dxa"/>
          </w:tcPr>
          <w:p w14:paraId="111DCC20" w14:textId="77777777" w:rsidR="0042504F" w:rsidRPr="00406187" w:rsidRDefault="0042504F" w:rsidP="0063690F">
            <w:pPr>
              <w:rPr>
                <w:sz w:val="20"/>
                <w:szCs w:val="20"/>
                <w:lang w:val="en-IE"/>
              </w:rPr>
            </w:pPr>
          </w:p>
        </w:tc>
        <w:tc>
          <w:tcPr>
            <w:tcW w:w="887" w:type="dxa"/>
          </w:tcPr>
          <w:p w14:paraId="3F2C9482" w14:textId="77777777" w:rsidR="0042504F" w:rsidRPr="00406187" w:rsidRDefault="0042504F" w:rsidP="0063690F">
            <w:pPr>
              <w:rPr>
                <w:sz w:val="20"/>
                <w:szCs w:val="20"/>
                <w:lang w:val="en-IE"/>
              </w:rPr>
            </w:pPr>
          </w:p>
        </w:tc>
        <w:tc>
          <w:tcPr>
            <w:tcW w:w="989" w:type="dxa"/>
          </w:tcPr>
          <w:p w14:paraId="2C4A1180" w14:textId="77777777" w:rsidR="0042504F" w:rsidRPr="00406187" w:rsidRDefault="0042504F" w:rsidP="0063690F">
            <w:pPr>
              <w:rPr>
                <w:sz w:val="20"/>
                <w:szCs w:val="20"/>
                <w:lang w:val="en-IE"/>
              </w:rPr>
            </w:pPr>
          </w:p>
        </w:tc>
        <w:tc>
          <w:tcPr>
            <w:tcW w:w="887" w:type="dxa"/>
          </w:tcPr>
          <w:p w14:paraId="308E1FE9" w14:textId="77777777" w:rsidR="0042504F" w:rsidRPr="00406187" w:rsidRDefault="0042504F" w:rsidP="0063690F">
            <w:pPr>
              <w:rPr>
                <w:sz w:val="20"/>
                <w:szCs w:val="20"/>
                <w:lang w:val="en-IE"/>
              </w:rPr>
            </w:pPr>
          </w:p>
        </w:tc>
        <w:tc>
          <w:tcPr>
            <w:tcW w:w="989" w:type="dxa"/>
            <w:vAlign w:val="bottom"/>
          </w:tcPr>
          <w:p w14:paraId="576B0143" w14:textId="77777777" w:rsidR="0042504F" w:rsidRPr="00406187" w:rsidRDefault="0042504F" w:rsidP="0063690F">
            <w:pPr>
              <w:jc w:val="right"/>
              <w:rPr>
                <w:sz w:val="20"/>
                <w:szCs w:val="20"/>
                <w:lang w:val="en-IE"/>
              </w:rPr>
            </w:pPr>
            <w:r w:rsidRPr="00406187">
              <w:rPr>
                <w:sz w:val="20"/>
                <w:szCs w:val="20"/>
                <w:lang w:val="en-IE"/>
              </w:rPr>
              <w:t>1.074</w:t>
            </w:r>
          </w:p>
        </w:tc>
        <w:tc>
          <w:tcPr>
            <w:tcW w:w="887" w:type="dxa"/>
          </w:tcPr>
          <w:p w14:paraId="3F1C5C74" w14:textId="77777777" w:rsidR="0042504F" w:rsidRPr="00406187" w:rsidRDefault="0042504F" w:rsidP="0063690F">
            <w:pPr>
              <w:rPr>
                <w:sz w:val="20"/>
                <w:szCs w:val="20"/>
                <w:lang w:val="en-IE"/>
              </w:rPr>
            </w:pPr>
          </w:p>
        </w:tc>
      </w:tr>
      <w:tr w:rsidR="00406187" w:rsidRPr="00406187" w14:paraId="18549973" w14:textId="77777777" w:rsidTr="00406187">
        <w:tc>
          <w:tcPr>
            <w:tcW w:w="2802" w:type="dxa"/>
            <w:vAlign w:val="bottom"/>
          </w:tcPr>
          <w:p w14:paraId="12934032" w14:textId="77777777" w:rsidR="0042504F" w:rsidRPr="00406187" w:rsidRDefault="0042504F" w:rsidP="0063690F">
            <w:pPr>
              <w:rPr>
                <w:sz w:val="20"/>
                <w:szCs w:val="20"/>
                <w:lang w:val="en-IE"/>
              </w:rPr>
            </w:pPr>
            <w:r w:rsidRPr="00406187">
              <w:rPr>
                <w:sz w:val="20"/>
                <w:szCs w:val="20"/>
                <w:lang w:val="en-IE"/>
              </w:rPr>
              <w:t xml:space="preserve">  Unknown</w:t>
            </w:r>
          </w:p>
        </w:tc>
        <w:tc>
          <w:tcPr>
            <w:tcW w:w="258" w:type="dxa"/>
          </w:tcPr>
          <w:p w14:paraId="36127B4E" w14:textId="77777777" w:rsidR="0042504F" w:rsidRPr="00406187" w:rsidRDefault="0042504F" w:rsidP="0063690F">
            <w:pPr>
              <w:rPr>
                <w:sz w:val="20"/>
                <w:szCs w:val="20"/>
                <w:lang w:val="en-IE"/>
              </w:rPr>
            </w:pPr>
          </w:p>
        </w:tc>
        <w:tc>
          <w:tcPr>
            <w:tcW w:w="888" w:type="dxa"/>
          </w:tcPr>
          <w:p w14:paraId="7E114190" w14:textId="77777777" w:rsidR="0042504F" w:rsidRPr="00406187" w:rsidRDefault="0042504F" w:rsidP="0063690F">
            <w:pPr>
              <w:rPr>
                <w:sz w:val="20"/>
                <w:szCs w:val="20"/>
                <w:lang w:val="en-IE"/>
              </w:rPr>
            </w:pPr>
          </w:p>
        </w:tc>
        <w:tc>
          <w:tcPr>
            <w:tcW w:w="989" w:type="dxa"/>
          </w:tcPr>
          <w:p w14:paraId="770D3688" w14:textId="77777777" w:rsidR="0042504F" w:rsidRPr="00406187" w:rsidRDefault="0042504F" w:rsidP="0063690F">
            <w:pPr>
              <w:rPr>
                <w:sz w:val="20"/>
                <w:szCs w:val="20"/>
                <w:lang w:val="en-IE"/>
              </w:rPr>
            </w:pPr>
          </w:p>
        </w:tc>
        <w:tc>
          <w:tcPr>
            <w:tcW w:w="887" w:type="dxa"/>
          </w:tcPr>
          <w:p w14:paraId="50F1FE1C" w14:textId="77777777" w:rsidR="0042504F" w:rsidRPr="00406187" w:rsidRDefault="0042504F" w:rsidP="0063690F">
            <w:pPr>
              <w:rPr>
                <w:sz w:val="20"/>
                <w:szCs w:val="20"/>
                <w:lang w:val="en-IE"/>
              </w:rPr>
            </w:pPr>
          </w:p>
        </w:tc>
        <w:tc>
          <w:tcPr>
            <w:tcW w:w="989" w:type="dxa"/>
          </w:tcPr>
          <w:p w14:paraId="6EAE5801" w14:textId="77777777" w:rsidR="0042504F" w:rsidRPr="00406187" w:rsidRDefault="0042504F" w:rsidP="0063690F">
            <w:pPr>
              <w:rPr>
                <w:sz w:val="20"/>
                <w:szCs w:val="20"/>
                <w:lang w:val="en-IE"/>
              </w:rPr>
            </w:pPr>
          </w:p>
        </w:tc>
        <w:tc>
          <w:tcPr>
            <w:tcW w:w="887" w:type="dxa"/>
          </w:tcPr>
          <w:p w14:paraId="3173046B" w14:textId="77777777" w:rsidR="0042504F" w:rsidRPr="00406187" w:rsidRDefault="0042504F" w:rsidP="0063690F">
            <w:pPr>
              <w:rPr>
                <w:sz w:val="20"/>
                <w:szCs w:val="20"/>
                <w:lang w:val="en-IE"/>
              </w:rPr>
            </w:pPr>
          </w:p>
        </w:tc>
        <w:tc>
          <w:tcPr>
            <w:tcW w:w="989" w:type="dxa"/>
            <w:vAlign w:val="bottom"/>
          </w:tcPr>
          <w:p w14:paraId="247D3FA2" w14:textId="77777777" w:rsidR="0042504F" w:rsidRPr="00406187" w:rsidRDefault="0042504F" w:rsidP="0063690F">
            <w:pPr>
              <w:jc w:val="right"/>
              <w:rPr>
                <w:sz w:val="20"/>
                <w:szCs w:val="20"/>
                <w:lang w:val="en-IE"/>
              </w:rPr>
            </w:pPr>
            <w:r w:rsidRPr="00406187">
              <w:rPr>
                <w:sz w:val="20"/>
                <w:szCs w:val="20"/>
                <w:lang w:val="en-IE"/>
              </w:rPr>
              <w:t>0.866</w:t>
            </w:r>
          </w:p>
        </w:tc>
        <w:tc>
          <w:tcPr>
            <w:tcW w:w="887" w:type="dxa"/>
          </w:tcPr>
          <w:p w14:paraId="73FEFD9E" w14:textId="77777777" w:rsidR="0042504F" w:rsidRPr="00406187" w:rsidRDefault="0042504F" w:rsidP="0063690F">
            <w:pPr>
              <w:rPr>
                <w:sz w:val="20"/>
                <w:szCs w:val="20"/>
                <w:lang w:val="en-IE"/>
              </w:rPr>
            </w:pPr>
          </w:p>
        </w:tc>
      </w:tr>
      <w:tr w:rsidR="00406187" w:rsidRPr="00406187" w14:paraId="247F5052" w14:textId="77777777" w:rsidTr="00406187">
        <w:tc>
          <w:tcPr>
            <w:tcW w:w="2802" w:type="dxa"/>
            <w:vAlign w:val="bottom"/>
          </w:tcPr>
          <w:p w14:paraId="008F9EC8" w14:textId="77777777" w:rsidR="0042504F" w:rsidRPr="00406187" w:rsidRDefault="0042504F" w:rsidP="0063690F">
            <w:pPr>
              <w:rPr>
                <w:sz w:val="20"/>
                <w:szCs w:val="20"/>
                <w:lang w:val="en-IE"/>
              </w:rPr>
            </w:pPr>
            <w:r w:rsidRPr="00406187">
              <w:rPr>
                <w:sz w:val="20"/>
                <w:szCs w:val="20"/>
                <w:lang w:val="en-IE"/>
              </w:rPr>
              <w:t>Leaving cert points (50 point groups)</w:t>
            </w:r>
          </w:p>
        </w:tc>
        <w:tc>
          <w:tcPr>
            <w:tcW w:w="258" w:type="dxa"/>
          </w:tcPr>
          <w:p w14:paraId="20CB1582" w14:textId="77777777" w:rsidR="0042504F" w:rsidRPr="00406187" w:rsidRDefault="0042504F" w:rsidP="0063690F">
            <w:pPr>
              <w:rPr>
                <w:sz w:val="20"/>
                <w:szCs w:val="20"/>
                <w:lang w:val="en-IE"/>
              </w:rPr>
            </w:pPr>
          </w:p>
        </w:tc>
        <w:tc>
          <w:tcPr>
            <w:tcW w:w="888" w:type="dxa"/>
          </w:tcPr>
          <w:p w14:paraId="2A04CE35" w14:textId="77777777" w:rsidR="0042504F" w:rsidRPr="00406187" w:rsidRDefault="0042504F" w:rsidP="0063690F">
            <w:pPr>
              <w:rPr>
                <w:sz w:val="20"/>
                <w:szCs w:val="20"/>
                <w:lang w:val="en-IE"/>
              </w:rPr>
            </w:pPr>
          </w:p>
        </w:tc>
        <w:tc>
          <w:tcPr>
            <w:tcW w:w="989" w:type="dxa"/>
          </w:tcPr>
          <w:p w14:paraId="15678C27" w14:textId="77777777" w:rsidR="0042504F" w:rsidRPr="00406187" w:rsidRDefault="0042504F" w:rsidP="0063690F">
            <w:pPr>
              <w:rPr>
                <w:sz w:val="20"/>
                <w:szCs w:val="20"/>
                <w:lang w:val="en-IE"/>
              </w:rPr>
            </w:pPr>
          </w:p>
        </w:tc>
        <w:tc>
          <w:tcPr>
            <w:tcW w:w="887" w:type="dxa"/>
          </w:tcPr>
          <w:p w14:paraId="40787B8A" w14:textId="77777777" w:rsidR="0042504F" w:rsidRPr="00406187" w:rsidRDefault="0042504F" w:rsidP="0063690F">
            <w:pPr>
              <w:rPr>
                <w:sz w:val="20"/>
                <w:szCs w:val="20"/>
                <w:lang w:val="en-IE"/>
              </w:rPr>
            </w:pPr>
          </w:p>
        </w:tc>
        <w:tc>
          <w:tcPr>
            <w:tcW w:w="989" w:type="dxa"/>
          </w:tcPr>
          <w:p w14:paraId="69282446" w14:textId="77777777" w:rsidR="0042504F" w:rsidRPr="00406187" w:rsidRDefault="0042504F" w:rsidP="0063690F">
            <w:pPr>
              <w:rPr>
                <w:sz w:val="20"/>
                <w:szCs w:val="20"/>
                <w:lang w:val="en-IE"/>
              </w:rPr>
            </w:pPr>
          </w:p>
        </w:tc>
        <w:tc>
          <w:tcPr>
            <w:tcW w:w="887" w:type="dxa"/>
          </w:tcPr>
          <w:p w14:paraId="4404905C" w14:textId="77777777" w:rsidR="0042504F" w:rsidRPr="00406187" w:rsidRDefault="0042504F" w:rsidP="0063690F">
            <w:pPr>
              <w:rPr>
                <w:sz w:val="20"/>
                <w:szCs w:val="20"/>
                <w:lang w:val="en-IE"/>
              </w:rPr>
            </w:pPr>
          </w:p>
        </w:tc>
        <w:tc>
          <w:tcPr>
            <w:tcW w:w="989" w:type="dxa"/>
          </w:tcPr>
          <w:p w14:paraId="7E22E7B8" w14:textId="77777777" w:rsidR="0042504F" w:rsidRPr="00406187" w:rsidRDefault="0042504F" w:rsidP="0063690F">
            <w:pPr>
              <w:rPr>
                <w:sz w:val="20"/>
                <w:szCs w:val="20"/>
                <w:lang w:val="en-IE"/>
              </w:rPr>
            </w:pPr>
          </w:p>
        </w:tc>
        <w:tc>
          <w:tcPr>
            <w:tcW w:w="887" w:type="dxa"/>
          </w:tcPr>
          <w:p w14:paraId="1C2076EE" w14:textId="77777777" w:rsidR="0042504F" w:rsidRPr="00406187" w:rsidRDefault="0042504F" w:rsidP="0063690F">
            <w:pPr>
              <w:rPr>
                <w:sz w:val="20"/>
                <w:szCs w:val="20"/>
                <w:lang w:val="en-IE"/>
              </w:rPr>
            </w:pPr>
          </w:p>
        </w:tc>
      </w:tr>
      <w:tr w:rsidR="00406187" w:rsidRPr="00406187" w14:paraId="67C641F1" w14:textId="77777777" w:rsidTr="00406187">
        <w:tc>
          <w:tcPr>
            <w:tcW w:w="2802" w:type="dxa"/>
            <w:vAlign w:val="bottom"/>
          </w:tcPr>
          <w:p w14:paraId="433914AF" w14:textId="77777777" w:rsidR="0042504F" w:rsidRPr="00406187" w:rsidRDefault="0042504F" w:rsidP="0063690F">
            <w:pPr>
              <w:rPr>
                <w:sz w:val="20"/>
                <w:szCs w:val="20"/>
                <w:lang w:val="en-IE"/>
              </w:rPr>
            </w:pPr>
            <w:r w:rsidRPr="00406187">
              <w:rPr>
                <w:sz w:val="20"/>
                <w:szCs w:val="20"/>
                <w:lang w:val="en-IE"/>
              </w:rPr>
              <w:t xml:space="preserve">  150 - 199</w:t>
            </w:r>
          </w:p>
        </w:tc>
        <w:tc>
          <w:tcPr>
            <w:tcW w:w="258" w:type="dxa"/>
          </w:tcPr>
          <w:p w14:paraId="7FDB4E91" w14:textId="77777777" w:rsidR="0042504F" w:rsidRPr="00406187" w:rsidRDefault="0042504F" w:rsidP="0063690F">
            <w:pPr>
              <w:rPr>
                <w:sz w:val="20"/>
                <w:szCs w:val="20"/>
                <w:lang w:val="en-IE"/>
              </w:rPr>
            </w:pPr>
          </w:p>
        </w:tc>
        <w:tc>
          <w:tcPr>
            <w:tcW w:w="888" w:type="dxa"/>
          </w:tcPr>
          <w:p w14:paraId="1B621E71" w14:textId="77777777" w:rsidR="0042504F" w:rsidRPr="00406187" w:rsidRDefault="0042504F" w:rsidP="0063690F">
            <w:pPr>
              <w:rPr>
                <w:sz w:val="20"/>
                <w:szCs w:val="20"/>
                <w:lang w:val="en-IE"/>
              </w:rPr>
            </w:pPr>
          </w:p>
        </w:tc>
        <w:tc>
          <w:tcPr>
            <w:tcW w:w="989" w:type="dxa"/>
          </w:tcPr>
          <w:p w14:paraId="1E36A201" w14:textId="77777777" w:rsidR="0042504F" w:rsidRPr="00406187" w:rsidRDefault="0042504F" w:rsidP="0063690F">
            <w:pPr>
              <w:rPr>
                <w:sz w:val="20"/>
                <w:szCs w:val="20"/>
                <w:lang w:val="en-IE"/>
              </w:rPr>
            </w:pPr>
          </w:p>
        </w:tc>
        <w:tc>
          <w:tcPr>
            <w:tcW w:w="887" w:type="dxa"/>
          </w:tcPr>
          <w:p w14:paraId="30F1C8BF" w14:textId="77777777" w:rsidR="0042504F" w:rsidRPr="00406187" w:rsidRDefault="0042504F" w:rsidP="0063690F">
            <w:pPr>
              <w:rPr>
                <w:sz w:val="20"/>
                <w:szCs w:val="20"/>
                <w:lang w:val="en-IE"/>
              </w:rPr>
            </w:pPr>
          </w:p>
        </w:tc>
        <w:tc>
          <w:tcPr>
            <w:tcW w:w="989" w:type="dxa"/>
          </w:tcPr>
          <w:p w14:paraId="46AF0CB2" w14:textId="77777777" w:rsidR="0042504F" w:rsidRPr="00406187" w:rsidRDefault="0042504F" w:rsidP="0063690F">
            <w:pPr>
              <w:rPr>
                <w:sz w:val="20"/>
                <w:szCs w:val="20"/>
                <w:lang w:val="en-IE"/>
              </w:rPr>
            </w:pPr>
          </w:p>
        </w:tc>
        <w:tc>
          <w:tcPr>
            <w:tcW w:w="887" w:type="dxa"/>
          </w:tcPr>
          <w:p w14:paraId="4486E32D" w14:textId="77777777" w:rsidR="0042504F" w:rsidRPr="00406187" w:rsidRDefault="0042504F" w:rsidP="0063690F">
            <w:pPr>
              <w:rPr>
                <w:sz w:val="20"/>
                <w:szCs w:val="20"/>
                <w:lang w:val="en-IE"/>
              </w:rPr>
            </w:pPr>
          </w:p>
        </w:tc>
        <w:tc>
          <w:tcPr>
            <w:tcW w:w="989" w:type="dxa"/>
            <w:vAlign w:val="bottom"/>
          </w:tcPr>
          <w:p w14:paraId="05C61F60" w14:textId="77777777" w:rsidR="0042504F" w:rsidRPr="00406187" w:rsidRDefault="0042504F" w:rsidP="0063690F">
            <w:pPr>
              <w:jc w:val="right"/>
              <w:rPr>
                <w:sz w:val="20"/>
                <w:szCs w:val="20"/>
                <w:lang w:val="en-IE"/>
              </w:rPr>
            </w:pPr>
            <w:r w:rsidRPr="00406187">
              <w:rPr>
                <w:sz w:val="20"/>
                <w:szCs w:val="20"/>
                <w:lang w:val="en-IE"/>
              </w:rPr>
              <w:t>3.130</w:t>
            </w:r>
          </w:p>
        </w:tc>
        <w:tc>
          <w:tcPr>
            <w:tcW w:w="887" w:type="dxa"/>
            <w:vAlign w:val="bottom"/>
          </w:tcPr>
          <w:p w14:paraId="1CAE5A2D"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29D309DA" w14:textId="77777777" w:rsidTr="00406187">
        <w:tc>
          <w:tcPr>
            <w:tcW w:w="2802" w:type="dxa"/>
            <w:vAlign w:val="bottom"/>
          </w:tcPr>
          <w:p w14:paraId="3BDCB356" w14:textId="77777777" w:rsidR="0042504F" w:rsidRPr="00406187" w:rsidRDefault="0042504F" w:rsidP="0063690F">
            <w:pPr>
              <w:rPr>
                <w:sz w:val="20"/>
                <w:szCs w:val="20"/>
                <w:lang w:val="en-IE"/>
              </w:rPr>
            </w:pPr>
            <w:r w:rsidRPr="00406187">
              <w:rPr>
                <w:sz w:val="20"/>
                <w:szCs w:val="20"/>
                <w:lang w:val="en-IE"/>
              </w:rPr>
              <w:t xml:space="preserve">  200 - 249</w:t>
            </w:r>
          </w:p>
        </w:tc>
        <w:tc>
          <w:tcPr>
            <w:tcW w:w="258" w:type="dxa"/>
          </w:tcPr>
          <w:p w14:paraId="1CD8BC97" w14:textId="77777777" w:rsidR="0042504F" w:rsidRPr="00406187" w:rsidRDefault="0042504F" w:rsidP="0063690F">
            <w:pPr>
              <w:rPr>
                <w:sz w:val="20"/>
                <w:szCs w:val="20"/>
                <w:lang w:val="en-IE"/>
              </w:rPr>
            </w:pPr>
          </w:p>
        </w:tc>
        <w:tc>
          <w:tcPr>
            <w:tcW w:w="888" w:type="dxa"/>
          </w:tcPr>
          <w:p w14:paraId="41C7B83C" w14:textId="77777777" w:rsidR="0042504F" w:rsidRPr="00406187" w:rsidRDefault="0042504F" w:rsidP="0063690F">
            <w:pPr>
              <w:rPr>
                <w:sz w:val="20"/>
                <w:szCs w:val="20"/>
                <w:lang w:val="en-IE"/>
              </w:rPr>
            </w:pPr>
          </w:p>
        </w:tc>
        <w:tc>
          <w:tcPr>
            <w:tcW w:w="989" w:type="dxa"/>
          </w:tcPr>
          <w:p w14:paraId="25F3A54C" w14:textId="77777777" w:rsidR="0042504F" w:rsidRPr="00406187" w:rsidRDefault="0042504F" w:rsidP="0063690F">
            <w:pPr>
              <w:rPr>
                <w:sz w:val="20"/>
                <w:szCs w:val="20"/>
                <w:lang w:val="en-IE"/>
              </w:rPr>
            </w:pPr>
          </w:p>
        </w:tc>
        <w:tc>
          <w:tcPr>
            <w:tcW w:w="887" w:type="dxa"/>
          </w:tcPr>
          <w:p w14:paraId="0F1923BD" w14:textId="77777777" w:rsidR="0042504F" w:rsidRPr="00406187" w:rsidRDefault="0042504F" w:rsidP="0063690F">
            <w:pPr>
              <w:rPr>
                <w:sz w:val="20"/>
                <w:szCs w:val="20"/>
                <w:lang w:val="en-IE"/>
              </w:rPr>
            </w:pPr>
          </w:p>
        </w:tc>
        <w:tc>
          <w:tcPr>
            <w:tcW w:w="989" w:type="dxa"/>
          </w:tcPr>
          <w:p w14:paraId="527CB5F1" w14:textId="77777777" w:rsidR="0042504F" w:rsidRPr="00406187" w:rsidRDefault="0042504F" w:rsidP="0063690F">
            <w:pPr>
              <w:rPr>
                <w:sz w:val="20"/>
                <w:szCs w:val="20"/>
                <w:lang w:val="en-IE"/>
              </w:rPr>
            </w:pPr>
          </w:p>
        </w:tc>
        <w:tc>
          <w:tcPr>
            <w:tcW w:w="887" w:type="dxa"/>
          </w:tcPr>
          <w:p w14:paraId="155CC5CE" w14:textId="77777777" w:rsidR="0042504F" w:rsidRPr="00406187" w:rsidRDefault="0042504F" w:rsidP="0063690F">
            <w:pPr>
              <w:rPr>
                <w:sz w:val="20"/>
                <w:szCs w:val="20"/>
                <w:lang w:val="en-IE"/>
              </w:rPr>
            </w:pPr>
          </w:p>
        </w:tc>
        <w:tc>
          <w:tcPr>
            <w:tcW w:w="989" w:type="dxa"/>
            <w:vAlign w:val="bottom"/>
          </w:tcPr>
          <w:p w14:paraId="231D2EDA" w14:textId="77777777" w:rsidR="0042504F" w:rsidRPr="00406187" w:rsidRDefault="0042504F" w:rsidP="0063690F">
            <w:pPr>
              <w:jc w:val="right"/>
              <w:rPr>
                <w:sz w:val="20"/>
                <w:szCs w:val="20"/>
                <w:lang w:val="en-IE"/>
              </w:rPr>
            </w:pPr>
            <w:r w:rsidRPr="00406187">
              <w:rPr>
                <w:sz w:val="20"/>
                <w:szCs w:val="20"/>
                <w:lang w:val="en-IE"/>
              </w:rPr>
              <w:t>2.463</w:t>
            </w:r>
          </w:p>
        </w:tc>
        <w:tc>
          <w:tcPr>
            <w:tcW w:w="887" w:type="dxa"/>
            <w:vAlign w:val="bottom"/>
          </w:tcPr>
          <w:p w14:paraId="319B31D2"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0068BBA2" w14:textId="77777777" w:rsidTr="00406187">
        <w:tc>
          <w:tcPr>
            <w:tcW w:w="2802" w:type="dxa"/>
            <w:vAlign w:val="bottom"/>
          </w:tcPr>
          <w:p w14:paraId="202DAB64" w14:textId="77777777" w:rsidR="0042504F" w:rsidRPr="00406187" w:rsidRDefault="0042504F" w:rsidP="0063690F">
            <w:pPr>
              <w:rPr>
                <w:sz w:val="20"/>
                <w:szCs w:val="20"/>
                <w:lang w:val="en-IE"/>
              </w:rPr>
            </w:pPr>
            <w:r w:rsidRPr="00406187">
              <w:rPr>
                <w:sz w:val="20"/>
                <w:szCs w:val="20"/>
                <w:lang w:val="en-IE"/>
              </w:rPr>
              <w:t xml:space="preserve">  250 - 299</w:t>
            </w:r>
          </w:p>
        </w:tc>
        <w:tc>
          <w:tcPr>
            <w:tcW w:w="258" w:type="dxa"/>
          </w:tcPr>
          <w:p w14:paraId="1314E1D7" w14:textId="77777777" w:rsidR="0042504F" w:rsidRPr="00406187" w:rsidRDefault="0042504F" w:rsidP="0063690F">
            <w:pPr>
              <w:rPr>
                <w:sz w:val="20"/>
                <w:szCs w:val="20"/>
                <w:lang w:val="en-IE"/>
              </w:rPr>
            </w:pPr>
          </w:p>
        </w:tc>
        <w:tc>
          <w:tcPr>
            <w:tcW w:w="888" w:type="dxa"/>
          </w:tcPr>
          <w:p w14:paraId="2328A5A9" w14:textId="77777777" w:rsidR="0042504F" w:rsidRPr="00406187" w:rsidRDefault="0042504F" w:rsidP="0063690F">
            <w:pPr>
              <w:rPr>
                <w:sz w:val="20"/>
                <w:szCs w:val="20"/>
                <w:lang w:val="en-IE"/>
              </w:rPr>
            </w:pPr>
          </w:p>
        </w:tc>
        <w:tc>
          <w:tcPr>
            <w:tcW w:w="989" w:type="dxa"/>
          </w:tcPr>
          <w:p w14:paraId="696812D8" w14:textId="77777777" w:rsidR="0042504F" w:rsidRPr="00406187" w:rsidRDefault="0042504F" w:rsidP="0063690F">
            <w:pPr>
              <w:rPr>
                <w:sz w:val="20"/>
                <w:szCs w:val="20"/>
                <w:lang w:val="en-IE"/>
              </w:rPr>
            </w:pPr>
          </w:p>
        </w:tc>
        <w:tc>
          <w:tcPr>
            <w:tcW w:w="887" w:type="dxa"/>
          </w:tcPr>
          <w:p w14:paraId="58A7C920" w14:textId="77777777" w:rsidR="0042504F" w:rsidRPr="00406187" w:rsidRDefault="0042504F" w:rsidP="0063690F">
            <w:pPr>
              <w:rPr>
                <w:sz w:val="20"/>
                <w:szCs w:val="20"/>
                <w:lang w:val="en-IE"/>
              </w:rPr>
            </w:pPr>
          </w:p>
        </w:tc>
        <w:tc>
          <w:tcPr>
            <w:tcW w:w="989" w:type="dxa"/>
          </w:tcPr>
          <w:p w14:paraId="37DBB69A" w14:textId="77777777" w:rsidR="0042504F" w:rsidRPr="00406187" w:rsidRDefault="0042504F" w:rsidP="0063690F">
            <w:pPr>
              <w:rPr>
                <w:sz w:val="20"/>
                <w:szCs w:val="20"/>
                <w:lang w:val="en-IE"/>
              </w:rPr>
            </w:pPr>
          </w:p>
        </w:tc>
        <w:tc>
          <w:tcPr>
            <w:tcW w:w="887" w:type="dxa"/>
          </w:tcPr>
          <w:p w14:paraId="02F913F5" w14:textId="77777777" w:rsidR="0042504F" w:rsidRPr="00406187" w:rsidRDefault="0042504F" w:rsidP="0063690F">
            <w:pPr>
              <w:rPr>
                <w:sz w:val="20"/>
                <w:szCs w:val="20"/>
                <w:lang w:val="en-IE"/>
              </w:rPr>
            </w:pPr>
          </w:p>
        </w:tc>
        <w:tc>
          <w:tcPr>
            <w:tcW w:w="989" w:type="dxa"/>
            <w:vAlign w:val="bottom"/>
          </w:tcPr>
          <w:p w14:paraId="287F4199" w14:textId="77777777" w:rsidR="0042504F" w:rsidRPr="00406187" w:rsidRDefault="0042504F" w:rsidP="0063690F">
            <w:pPr>
              <w:jc w:val="right"/>
              <w:rPr>
                <w:sz w:val="20"/>
                <w:szCs w:val="20"/>
                <w:lang w:val="en-IE"/>
              </w:rPr>
            </w:pPr>
            <w:r w:rsidRPr="00406187">
              <w:rPr>
                <w:sz w:val="20"/>
                <w:szCs w:val="20"/>
                <w:lang w:val="en-IE"/>
              </w:rPr>
              <w:t>1.938</w:t>
            </w:r>
          </w:p>
        </w:tc>
        <w:tc>
          <w:tcPr>
            <w:tcW w:w="887" w:type="dxa"/>
            <w:vAlign w:val="bottom"/>
          </w:tcPr>
          <w:p w14:paraId="350448C7"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67873E28" w14:textId="77777777" w:rsidTr="00406187">
        <w:tc>
          <w:tcPr>
            <w:tcW w:w="2802" w:type="dxa"/>
            <w:vAlign w:val="bottom"/>
          </w:tcPr>
          <w:p w14:paraId="4CF2F850" w14:textId="77777777" w:rsidR="0042504F" w:rsidRPr="00406187" w:rsidRDefault="0042504F" w:rsidP="0063690F">
            <w:pPr>
              <w:rPr>
                <w:sz w:val="20"/>
                <w:szCs w:val="20"/>
                <w:lang w:val="en-IE"/>
              </w:rPr>
            </w:pPr>
            <w:r w:rsidRPr="00406187">
              <w:rPr>
                <w:sz w:val="20"/>
                <w:szCs w:val="20"/>
                <w:lang w:val="en-IE"/>
              </w:rPr>
              <w:t xml:space="preserve">  300 - 349</w:t>
            </w:r>
          </w:p>
        </w:tc>
        <w:tc>
          <w:tcPr>
            <w:tcW w:w="258" w:type="dxa"/>
          </w:tcPr>
          <w:p w14:paraId="202CF353" w14:textId="77777777" w:rsidR="0042504F" w:rsidRPr="00406187" w:rsidRDefault="0042504F" w:rsidP="0063690F">
            <w:pPr>
              <w:rPr>
                <w:sz w:val="20"/>
                <w:szCs w:val="20"/>
                <w:lang w:val="en-IE"/>
              </w:rPr>
            </w:pPr>
          </w:p>
        </w:tc>
        <w:tc>
          <w:tcPr>
            <w:tcW w:w="888" w:type="dxa"/>
          </w:tcPr>
          <w:p w14:paraId="777F8C58" w14:textId="77777777" w:rsidR="0042504F" w:rsidRPr="00406187" w:rsidRDefault="0042504F" w:rsidP="0063690F">
            <w:pPr>
              <w:rPr>
                <w:sz w:val="20"/>
                <w:szCs w:val="20"/>
                <w:lang w:val="en-IE"/>
              </w:rPr>
            </w:pPr>
          </w:p>
        </w:tc>
        <w:tc>
          <w:tcPr>
            <w:tcW w:w="989" w:type="dxa"/>
          </w:tcPr>
          <w:p w14:paraId="7337F9F6" w14:textId="77777777" w:rsidR="0042504F" w:rsidRPr="00406187" w:rsidRDefault="0042504F" w:rsidP="0063690F">
            <w:pPr>
              <w:rPr>
                <w:sz w:val="20"/>
                <w:szCs w:val="20"/>
                <w:lang w:val="en-IE"/>
              </w:rPr>
            </w:pPr>
          </w:p>
        </w:tc>
        <w:tc>
          <w:tcPr>
            <w:tcW w:w="887" w:type="dxa"/>
          </w:tcPr>
          <w:p w14:paraId="457D4515" w14:textId="77777777" w:rsidR="0042504F" w:rsidRPr="00406187" w:rsidRDefault="0042504F" w:rsidP="0063690F">
            <w:pPr>
              <w:rPr>
                <w:sz w:val="20"/>
                <w:szCs w:val="20"/>
                <w:lang w:val="en-IE"/>
              </w:rPr>
            </w:pPr>
          </w:p>
        </w:tc>
        <w:tc>
          <w:tcPr>
            <w:tcW w:w="989" w:type="dxa"/>
          </w:tcPr>
          <w:p w14:paraId="71D01410" w14:textId="77777777" w:rsidR="0042504F" w:rsidRPr="00406187" w:rsidRDefault="0042504F" w:rsidP="0063690F">
            <w:pPr>
              <w:rPr>
                <w:sz w:val="20"/>
                <w:szCs w:val="20"/>
                <w:lang w:val="en-IE"/>
              </w:rPr>
            </w:pPr>
          </w:p>
        </w:tc>
        <w:tc>
          <w:tcPr>
            <w:tcW w:w="887" w:type="dxa"/>
          </w:tcPr>
          <w:p w14:paraId="569E970F" w14:textId="77777777" w:rsidR="0042504F" w:rsidRPr="00406187" w:rsidRDefault="0042504F" w:rsidP="0063690F">
            <w:pPr>
              <w:rPr>
                <w:sz w:val="20"/>
                <w:szCs w:val="20"/>
                <w:lang w:val="en-IE"/>
              </w:rPr>
            </w:pPr>
          </w:p>
        </w:tc>
        <w:tc>
          <w:tcPr>
            <w:tcW w:w="989" w:type="dxa"/>
            <w:vAlign w:val="bottom"/>
          </w:tcPr>
          <w:p w14:paraId="1D15EDFF" w14:textId="77777777" w:rsidR="0042504F" w:rsidRPr="00406187" w:rsidRDefault="0042504F" w:rsidP="0063690F">
            <w:pPr>
              <w:jc w:val="right"/>
              <w:rPr>
                <w:sz w:val="20"/>
                <w:szCs w:val="20"/>
                <w:lang w:val="en-IE"/>
              </w:rPr>
            </w:pPr>
            <w:r w:rsidRPr="00406187">
              <w:rPr>
                <w:sz w:val="20"/>
                <w:szCs w:val="20"/>
                <w:lang w:val="en-IE"/>
              </w:rPr>
              <w:t>1.573</w:t>
            </w:r>
          </w:p>
        </w:tc>
        <w:tc>
          <w:tcPr>
            <w:tcW w:w="887" w:type="dxa"/>
            <w:vAlign w:val="bottom"/>
          </w:tcPr>
          <w:p w14:paraId="6D58176A"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7EE22EB3" w14:textId="77777777" w:rsidTr="00406187">
        <w:tc>
          <w:tcPr>
            <w:tcW w:w="2802" w:type="dxa"/>
            <w:vAlign w:val="bottom"/>
          </w:tcPr>
          <w:p w14:paraId="4A688016" w14:textId="77777777" w:rsidR="0042504F" w:rsidRPr="00406187" w:rsidRDefault="0042504F" w:rsidP="0063690F">
            <w:pPr>
              <w:rPr>
                <w:sz w:val="20"/>
                <w:szCs w:val="20"/>
                <w:lang w:val="en-IE"/>
              </w:rPr>
            </w:pPr>
            <w:r w:rsidRPr="00406187">
              <w:rPr>
                <w:sz w:val="20"/>
                <w:szCs w:val="20"/>
                <w:lang w:val="en-IE"/>
              </w:rPr>
              <w:t xml:space="preserve">  400 - 449</w:t>
            </w:r>
          </w:p>
        </w:tc>
        <w:tc>
          <w:tcPr>
            <w:tcW w:w="258" w:type="dxa"/>
          </w:tcPr>
          <w:p w14:paraId="2606B9FD" w14:textId="77777777" w:rsidR="0042504F" w:rsidRPr="00406187" w:rsidRDefault="0042504F" w:rsidP="0063690F">
            <w:pPr>
              <w:rPr>
                <w:sz w:val="20"/>
                <w:szCs w:val="20"/>
                <w:lang w:val="en-IE"/>
              </w:rPr>
            </w:pPr>
          </w:p>
        </w:tc>
        <w:tc>
          <w:tcPr>
            <w:tcW w:w="888" w:type="dxa"/>
          </w:tcPr>
          <w:p w14:paraId="6B19EB43" w14:textId="77777777" w:rsidR="0042504F" w:rsidRPr="00406187" w:rsidRDefault="0042504F" w:rsidP="0063690F">
            <w:pPr>
              <w:rPr>
                <w:sz w:val="20"/>
                <w:szCs w:val="20"/>
                <w:lang w:val="en-IE"/>
              </w:rPr>
            </w:pPr>
          </w:p>
        </w:tc>
        <w:tc>
          <w:tcPr>
            <w:tcW w:w="989" w:type="dxa"/>
          </w:tcPr>
          <w:p w14:paraId="5C6346B3" w14:textId="77777777" w:rsidR="0042504F" w:rsidRPr="00406187" w:rsidRDefault="0042504F" w:rsidP="0063690F">
            <w:pPr>
              <w:rPr>
                <w:sz w:val="20"/>
                <w:szCs w:val="20"/>
                <w:lang w:val="en-IE"/>
              </w:rPr>
            </w:pPr>
          </w:p>
        </w:tc>
        <w:tc>
          <w:tcPr>
            <w:tcW w:w="887" w:type="dxa"/>
          </w:tcPr>
          <w:p w14:paraId="679C2774" w14:textId="77777777" w:rsidR="0042504F" w:rsidRPr="00406187" w:rsidRDefault="0042504F" w:rsidP="0063690F">
            <w:pPr>
              <w:rPr>
                <w:sz w:val="20"/>
                <w:szCs w:val="20"/>
                <w:lang w:val="en-IE"/>
              </w:rPr>
            </w:pPr>
          </w:p>
        </w:tc>
        <w:tc>
          <w:tcPr>
            <w:tcW w:w="989" w:type="dxa"/>
          </w:tcPr>
          <w:p w14:paraId="6CA27297" w14:textId="77777777" w:rsidR="0042504F" w:rsidRPr="00406187" w:rsidRDefault="0042504F" w:rsidP="0063690F">
            <w:pPr>
              <w:rPr>
                <w:sz w:val="20"/>
                <w:szCs w:val="20"/>
                <w:lang w:val="en-IE"/>
              </w:rPr>
            </w:pPr>
          </w:p>
        </w:tc>
        <w:tc>
          <w:tcPr>
            <w:tcW w:w="887" w:type="dxa"/>
          </w:tcPr>
          <w:p w14:paraId="2F1308D0" w14:textId="77777777" w:rsidR="0042504F" w:rsidRPr="00406187" w:rsidRDefault="0042504F" w:rsidP="0063690F">
            <w:pPr>
              <w:rPr>
                <w:sz w:val="20"/>
                <w:szCs w:val="20"/>
                <w:lang w:val="en-IE"/>
              </w:rPr>
            </w:pPr>
          </w:p>
        </w:tc>
        <w:tc>
          <w:tcPr>
            <w:tcW w:w="989" w:type="dxa"/>
            <w:vAlign w:val="bottom"/>
          </w:tcPr>
          <w:p w14:paraId="0845D414" w14:textId="77777777" w:rsidR="0042504F" w:rsidRPr="00406187" w:rsidRDefault="0042504F" w:rsidP="0063690F">
            <w:pPr>
              <w:jc w:val="right"/>
              <w:rPr>
                <w:sz w:val="20"/>
                <w:szCs w:val="20"/>
                <w:lang w:val="en-IE"/>
              </w:rPr>
            </w:pPr>
            <w:r w:rsidRPr="00406187">
              <w:rPr>
                <w:sz w:val="20"/>
                <w:szCs w:val="20"/>
                <w:lang w:val="en-IE"/>
              </w:rPr>
              <w:t>0.681</w:t>
            </w:r>
          </w:p>
        </w:tc>
        <w:tc>
          <w:tcPr>
            <w:tcW w:w="887" w:type="dxa"/>
            <w:vAlign w:val="bottom"/>
          </w:tcPr>
          <w:p w14:paraId="79E5C5CC"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391E41DB" w14:textId="77777777" w:rsidTr="00406187">
        <w:tc>
          <w:tcPr>
            <w:tcW w:w="2802" w:type="dxa"/>
            <w:vAlign w:val="bottom"/>
          </w:tcPr>
          <w:p w14:paraId="46267227" w14:textId="77777777" w:rsidR="0042504F" w:rsidRPr="00406187" w:rsidRDefault="0042504F" w:rsidP="0063690F">
            <w:pPr>
              <w:rPr>
                <w:sz w:val="20"/>
                <w:szCs w:val="20"/>
                <w:lang w:val="en-IE"/>
              </w:rPr>
            </w:pPr>
            <w:r w:rsidRPr="00406187">
              <w:rPr>
                <w:sz w:val="20"/>
                <w:szCs w:val="20"/>
                <w:lang w:val="en-IE"/>
              </w:rPr>
              <w:t xml:space="preserve">  450 - 499</w:t>
            </w:r>
          </w:p>
        </w:tc>
        <w:tc>
          <w:tcPr>
            <w:tcW w:w="258" w:type="dxa"/>
          </w:tcPr>
          <w:p w14:paraId="4BF61603" w14:textId="77777777" w:rsidR="0042504F" w:rsidRPr="00406187" w:rsidRDefault="0042504F" w:rsidP="0063690F">
            <w:pPr>
              <w:rPr>
                <w:sz w:val="20"/>
                <w:szCs w:val="20"/>
                <w:lang w:val="en-IE"/>
              </w:rPr>
            </w:pPr>
          </w:p>
        </w:tc>
        <w:tc>
          <w:tcPr>
            <w:tcW w:w="888" w:type="dxa"/>
          </w:tcPr>
          <w:p w14:paraId="3AB754BF" w14:textId="77777777" w:rsidR="0042504F" w:rsidRPr="00406187" w:rsidRDefault="0042504F" w:rsidP="0063690F">
            <w:pPr>
              <w:rPr>
                <w:sz w:val="20"/>
                <w:szCs w:val="20"/>
                <w:lang w:val="en-IE"/>
              </w:rPr>
            </w:pPr>
          </w:p>
        </w:tc>
        <w:tc>
          <w:tcPr>
            <w:tcW w:w="989" w:type="dxa"/>
          </w:tcPr>
          <w:p w14:paraId="263AED31" w14:textId="77777777" w:rsidR="0042504F" w:rsidRPr="00406187" w:rsidRDefault="0042504F" w:rsidP="0063690F">
            <w:pPr>
              <w:rPr>
                <w:sz w:val="20"/>
                <w:szCs w:val="20"/>
                <w:lang w:val="en-IE"/>
              </w:rPr>
            </w:pPr>
          </w:p>
        </w:tc>
        <w:tc>
          <w:tcPr>
            <w:tcW w:w="887" w:type="dxa"/>
          </w:tcPr>
          <w:p w14:paraId="3DAA476B" w14:textId="77777777" w:rsidR="0042504F" w:rsidRPr="00406187" w:rsidRDefault="0042504F" w:rsidP="0063690F">
            <w:pPr>
              <w:rPr>
                <w:sz w:val="20"/>
                <w:szCs w:val="20"/>
                <w:lang w:val="en-IE"/>
              </w:rPr>
            </w:pPr>
          </w:p>
        </w:tc>
        <w:tc>
          <w:tcPr>
            <w:tcW w:w="989" w:type="dxa"/>
          </w:tcPr>
          <w:p w14:paraId="4882ACD0" w14:textId="77777777" w:rsidR="0042504F" w:rsidRPr="00406187" w:rsidRDefault="0042504F" w:rsidP="0063690F">
            <w:pPr>
              <w:rPr>
                <w:sz w:val="20"/>
                <w:szCs w:val="20"/>
                <w:lang w:val="en-IE"/>
              </w:rPr>
            </w:pPr>
          </w:p>
        </w:tc>
        <w:tc>
          <w:tcPr>
            <w:tcW w:w="887" w:type="dxa"/>
          </w:tcPr>
          <w:p w14:paraId="582C7257" w14:textId="77777777" w:rsidR="0042504F" w:rsidRPr="00406187" w:rsidRDefault="0042504F" w:rsidP="0063690F">
            <w:pPr>
              <w:rPr>
                <w:sz w:val="20"/>
                <w:szCs w:val="20"/>
                <w:lang w:val="en-IE"/>
              </w:rPr>
            </w:pPr>
          </w:p>
        </w:tc>
        <w:tc>
          <w:tcPr>
            <w:tcW w:w="989" w:type="dxa"/>
            <w:vAlign w:val="bottom"/>
          </w:tcPr>
          <w:p w14:paraId="3C2B5816" w14:textId="77777777" w:rsidR="0042504F" w:rsidRPr="00406187" w:rsidRDefault="0042504F" w:rsidP="0063690F">
            <w:pPr>
              <w:jc w:val="right"/>
              <w:rPr>
                <w:sz w:val="20"/>
                <w:szCs w:val="20"/>
                <w:lang w:val="en-IE"/>
              </w:rPr>
            </w:pPr>
            <w:r w:rsidRPr="00406187">
              <w:rPr>
                <w:sz w:val="20"/>
                <w:szCs w:val="20"/>
                <w:lang w:val="en-IE"/>
              </w:rPr>
              <w:t>0.463</w:t>
            </w:r>
          </w:p>
        </w:tc>
        <w:tc>
          <w:tcPr>
            <w:tcW w:w="887" w:type="dxa"/>
            <w:vAlign w:val="bottom"/>
          </w:tcPr>
          <w:p w14:paraId="65DF0DB8"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741B76CA" w14:textId="77777777" w:rsidTr="00406187">
        <w:tc>
          <w:tcPr>
            <w:tcW w:w="2802" w:type="dxa"/>
            <w:vAlign w:val="bottom"/>
          </w:tcPr>
          <w:p w14:paraId="58D14B9E" w14:textId="77777777" w:rsidR="0042504F" w:rsidRPr="00406187" w:rsidRDefault="0042504F" w:rsidP="0063690F">
            <w:pPr>
              <w:rPr>
                <w:sz w:val="20"/>
                <w:szCs w:val="20"/>
                <w:lang w:val="en-IE"/>
              </w:rPr>
            </w:pPr>
            <w:r w:rsidRPr="00406187">
              <w:rPr>
                <w:sz w:val="20"/>
                <w:szCs w:val="20"/>
                <w:lang w:val="en-IE"/>
              </w:rPr>
              <w:t xml:space="preserve">  500 - 549</w:t>
            </w:r>
          </w:p>
        </w:tc>
        <w:tc>
          <w:tcPr>
            <w:tcW w:w="258" w:type="dxa"/>
          </w:tcPr>
          <w:p w14:paraId="704EDD2A" w14:textId="77777777" w:rsidR="0042504F" w:rsidRPr="00406187" w:rsidRDefault="0042504F" w:rsidP="0063690F">
            <w:pPr>
              <w:rPr>
                <w:sz w:val="20"/>
                <w:szCs w:val="20"/>
                <w:lang w:val="en-IE"/>
              </w:rPr>
            </w:pPr>
          </w:p>
        </w:tc>
        <w:tc>
          <w:tcPr>
            <w:tcW w:w="888" w:type="dxa"/>
          </w:tcPr>
          <w:p w14:paraId="1C877C43" w14:textId="77777777" w:rsidR="0042504F" w:rsidRPr="00406187" w:rsidRDefault="0042504F" w:rsidP="0063690F">
            <w:pPr>
              <w:rPr>
                <w:sz w:val="20"/>
                <w:szCs w:val="20"/>
                <w:lang w:val="en-IE"/>
              </w:rPr>
            </w:pPr>
          </w:p>
        </w:tc>
        <w:tc>
          <w:tcPr>
            <w:tcW w:w="989" w:type="dxa"/>
          </w:tcPr>
          <w:p w14:paraId="14B6CE50" w14:textId="77777777" w:rsidR="0042504F" w:rsidRPr="00406187" w:rsidRDefault="0042504F" w:rsidP="0063690F">
            <w:pPr>
              <w:rPr>
                <w:sz w:val="20"/>
                <w:szCs w:val="20"/>
                <w:lang w:val="en-IE"/>
              </w:rPr>
            </w:pPr>
          </w:p>
        </w:tc>
        <w:tc>
          <w:tcPr>
            <w:tcW w:w="887" w:type="dxa"/>
          </w:tcPr>
          <w:p w14:paraId="4415A0D7" w14:textId="77777777" w:rsidR="0042504F" w:rsidRPr="00406187" w:rsidRDefault="0042504F" w:rsidP="0063690F">
            <w:pPr>
              <w:rPr>
                <w:sz w:val="20"/>
                <w:szCs w:val="20"/>
                <w:lang w:val="en-IE"/>
              </w:rPr>
            </w:pPr>
          </w:p>
        </w:tc>
        <w:tc>
          <w:tcPr>
            <w:tcW w:w="989" w:type="dxa"/>
          </w:tcPr>
          <w:p w14:paraId="0CC8206A" w14:textId="77777777" w:rsidR="0042504F" w:rsidRPr="00406187" w:rsidRDefault="0042504F" w:rsidP="0063690F">
            <w:pPr>
              <w:rPr>
                <w:sz w:val="20"/>
                <w:szCs w:val="20"/>
                <w:lang w:val="en-IE"/>
              </w:rPr>
            </w:pPr>
          </w:p>
        </w:tc>
        <w:tc>
          <w:tcPr>
            <w:tcW w:w="887" w:type="dxa"/>
          </w:tcPr>
          <w:p w14:paraId="749040D8" w14:textId="77777777" w:rsidR="0042504F" w:rsidRPr="00406187" w:rsidRDefault="0042504F" w:rsidP="0063690F">
            <w:pPr>
              <w:rPr>
                <w:sz w:val="20"/>
                <w:szCs w:val="20"/>
                <w:lang w:val="en-IE"/>
              </w:rPr>
            </w:pPr>
          </w:p>
        </w:tc>
        <w:tc>
          <w:tcPr>
            <w:tcW w:w="989" w:type="dxa"/>
            <w:vAlign w:val="bottom"/>
          </w:tcPr>
          <w:p w14:paraId="5D14A377" w14:textId="77777777" w:rsidR="0042504F" w:rsidRPr="00406187" w:rsidRDefault="0042504F" w:rsidP="0063690F">
            <w:pPr>
              <w:jc w:val="right"/>
              <w:rPr>
                <w:sz w:val="20"/>
                <w:szCs w:val="20"/>
                <w:lang w:val="en-IE"/>
              </w:rPr>
            </w:pPr>
            <w:r w:rsidRPr="00406187">
              <w:rPr>
                <w:sz w:val="20"/>
                <w:szCs w:val="20"/>
                <w:lang w:val="en-IE"/>
              </w:rPr>
              <w:t>0.362</w:t>
            </w:r>
          </w:p>
        </w:tc>
        <w:tc>
          <w:tcPr>
            <w:tcW w:w="887" w:type="dxa"/>
            <w:vAlign w:val="bottom"/>
          </w:tcPr>
          <w:p w14:paraId="7BCFF5F3"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404E1FF6" w14:textId="77777777" w:rsidTr="00406187">
        <w:tc>
          <w:tcPr>
            <w:tcW w:w="2802" w:type="dxa"/>
            <w:vAlign w:val="bottom"/>
          </w:tcPr>
          <w:p w14:paraId="5CA92BFA" w14:textId="77777777" w:rsidR="0042504F" w:rsidRPr="00406187" w:rsidRDefault="0042504F" w:rsidP="0063690F">
            <w:pPr>
              <w:rPr>
                <w:sz w:val="20"/>
                <w:szCs w:val="20"/>
                <w:lang w:val="en-IE"/>
              </w:rPr>
            </w:pPr>
            <w:r w:rsidRPr="00406187">
              <w:rPr>
                <w:sz w:val="20"/>
                <w:szCs w:val="20"/>
                <w:lang w:val="en-IE"/>
              </w:rPr>
              <w:t xml:space="preserve">  550 - 599</w:t>
            </w:r>
          </w:p>
        </w:tc>
        <w:tc>
          <w:tcPr>
            <w:tcW w:w="258" w:type="dxa"/>
          </w:tcPr>
          <w:p w14:paraId="6108F4C1" w14:textId="77777777" w:rsidR="0042504F" w:rsidRPr="00406187" w:rsidRDefault="0042504F" w:rsidP="0063690F">
            <w:pPr>
              <w:rPr>
                <w:sz w:val="20"/>
                <w:szCs w:val="20"/>
                <w:lang w:val="en-IE"/>
              </w:rPr>
            </w:pPr>
          </w:p>
        </w:tc>
        <w:tc>
          <w:tcPr>
            <w:tcW w:w="888" w:type="dxa"/>
          </w:tcPr>
          <w:p w14:paraId="2FA26F46" w14:textId="77777777" w:rsidR="0042504F" w:rsidRPr="00406187" w:rsidRDefault="0042504F" w:rsidP="0063690F">
            <w:pPr>
              <w:rPr>
                <w:sz w:val="20"/>
                <w:szCs w:val="20"/>
                <w:lang w:val="en-IE"/>
              </w:rPr>
            </w:pPr>
          </w:p>
        </w:tc>
        <w:tc>
          <w:tcPr>
            <w:tcW w:w="989" w:type="dxa"/>
          </w:tcPr>
          <w:p w14:paraId="05939E22" w14:textId="77777777" w:rsidR="0042504F" w:rsidRPr="00406187" w:rsidRDefault="0042504F" w:rsidP="0063690F">
            <w:pPr>
              <w:rPr>
                <w:sz w:val="20"/>
                <w:szCs w:val="20"/>
                <w:lang w:val="en-IE"/>
              </w:rPr>
            </w:pPr>
          </w:p>
        </w:tc>
        <w:tc>
          <w:tcPr>
            <w:tcW w:w="887" w:type="dxa"/>
          </w:tcPr>
          <w:p w14:paraId="0B263FB1" w14:textId="77777777" w:rsidR="0042504F" w:rsidRPr="00406187" w:rsidRDefault="0042504F" w:rsidP="0063690F">
            <w:pPr>
              <w:rPr>
                <w:sz w:val="20"/>
                <w:szCs w:val="20"/>
                <w:lang w:val="en-IE"/>
              </w:rPr>
            </w:pPr>
          </w:p>
        </w:tc>
        <w:tc>
          <w:tcPr>
            <w:tcW w:w="989" w:type="dxa"/>
          </w:tcPr>
          <w:p w14:paraId="55662BC3" w14:textId="77777777" w:rsidR="0042504F" w:rsidRPr="00406187" w:rsidRDefault="0042504F" w:rsidP="0063690F">
            <w:pPr>
              <w:rPr>
                <w:sz w:val="20"/>
                <w:szCs w:val="20"/>
                <w:lang w:val="en-IE"/>
              </w:rPr>
            </w:pPr>
          </w:p>
        </w:tc>
        <w:tc>
          <w:tcPr>
            <w:tcW w:w="887" w:type="dxa"/>
          </w:tcPr>
          <w:p w14:paraId="4BA9B619" w14:textId="77777777" w:rsidR="0042504F" w:rsidRPr="00406187" w:rsidRDefault="0042504F" w:rsidP="0063690F">
            <w:pPr>
              <w:rPr>
                <w:sz w:val="20"/>
                <w:szCs w:val="20"/>
                <w:lang w:val="en-IE"/>
              </w:rPr>
            </w:pPr>
          </w:p>
        </w:tc>
        <w:tc>
          <w:tcPr>
            <w:tcW w:w="989" w:type="dxa"/>
            <w:vAlign w:val="bottom"/>
          </w:tcPr>
          <w:p w14:paraId="48BBCA41" w14:textId="77777777" w:rsidR="0042504F" w:rsidRPr="00406187" w:rsidRDefault="0042504F" w:rsidP="0063690F">
            <w:pPr>
              <w:jc w:val="right"/>
              <w:rPr>
                <w:sz w:val="20"/>
                <w:szCs w:val="20"/>
                <w:lang w:val="en-IE"/>
              </w:rPr>
            </w:pPr>
            <w:r w:rsidRPr="00406187">
              <w:rPr>
                <w:sz w:val="20"/>
                <w:szCs w:val="20"/>
                <w:lang w:val="en-IE"/>
              </w:rPr>
              <w:t>0.238</w:t>
            </w:r>
          </w:p>
        </w:tc>
        <w:tc>
          <w:tcPr>
            <w:tcW w:w="887" w:type="dxa"/>
            <w:vAlign w:val="bottom"/>
          </w:tcPr>
          <w:p w14:paraId="674AEC0A"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173A5011" w14:textId="77777777" w:rsidTr="00406187">
        <w:tc>
          <w:tcPr>
            <w:tcW w:w="2802" w:type="dxa"/>
            <w:vAlign w:val="bottom"/>
          </w:tcPr>
          <w:p w14:paraId="102D0287" w14:textId="77777777" w:rsidR="0042504F" w:rsidRPr="00406187" w:rsidRDefault="0042504F" w:rsidP="0063690F">
            <w:pPr>
              <w:rPr>
                <w:sz w:val="20"/>
                <w:szCs w:val="20"/>
                <w:lang w:val="en-IE"/>
              </w:rPr>
            </w:pPr>
            <w:r w:rsidRPr="00406187">
              <w:rPr>
                <w:sz w:val="20"/>
                <w:szCs w:val="20"/>
                <w:lang w:val="en-IE"/>
              </w:rPr>
              <w:t xml:space="preserve">  600 - 625</w:t>
            </w:r>
          </w:p>
        </w:tc>
        <w:tc>
          <w:tcPr>
            <w:tcW w:w="258" w:type="dxa"/>
          </w:tcPr>
          <w:p w14:paraId="29C6A692" w14:textId="77777777" w:rsidR="0042504F" w:rsidRPr="00406187" w:rsidRDefault="0042504F" w:rsidP="0063690F">
            <w:pPr>
              <w:rPr>
                <w:sz w:val="20"/>
                <w:szCs w:val="20"/>
                <w:lang w:val="en-IE"/>
              </w:rPr>
            </w:pPr>
          </w:p>
        </w:tc>
        <w:tc>
          <w:tcPr>
            <w:tcW w:w="888" w:type="dxa"/>
          </w:tcPr>
          <w:p w14:paraId="44F10B5A" w14:textId="77777777" w:rsidR="0042504F" w:rsidRPr="00406187" w:rsidRDefault="0042504F" w:rsidP="0063690F">
            <w:pPr>
              <w:rPr>
                <w:sz w:val="20"/>
                <w:szCs w:val="20"/>
                <w:lang w:val="en-IE"/>
              </w:rPr>
            </w:pPr>
          </w:p>
        </w:tc>
        <w:tc>
          <w:tcPr>
            <w:tcW w:w="989" w:type="dxa"/>
          </w:tcPr>
          <w:p w14:paraId="6E4D4D24" w14:textId="77777777" w:rsidR="0042504F" w:rsidRPr="00406187" w:rsidRDefault="0042504F" w:rsidP="0063690F">
            <w:pPr>
              <w:rPr>
                <w:sz w:val="20"/>
                <w:szCs w:val="20"/>
                <w:lang w:val="en-IE"/>
              </w:rPr>
            </w:pPr>
          </w:p>
        </w:tc>
        <w:tc>
          <w:tcPr>
            <w:tcW w:w="887" w:type="dxa"/>
          </w:tcPr>
          <w:p w14:paraId="269548EE" w14:textId="77777777" w:rsidR="0042504F" w:rsidRPr="00406187" w:rsidRDefault="0042504F" w:rsidP="0063690F">
            <w:pPr>
              <w:rPr>
                <w:sz w:val="20"/>
                <w:szCs w:val="20"/>
                <w:lang w:val="en-IE"/>
              </w:rPr>
            </w:pPr>
          </w:p>
        </w:tc>
        <w:tc>
          <w:tcPr>
            <w:tcW w:w="989" w:type="dxa"/>
          </w:tcPr>
          <w:p w14:paraId="481B86D6" w14:textId="77777777" w:rsidR="0042504F" w:rsidRPr="00406187" w:rsidRDefault="0042504F" w:rsidP="0063690F">
            <w:pPr>
              <w:rPr>
                <w:sz w:val="20"/>
                <w:szCs w:val="20"/>
                <w:lang w:val="en-IE"/>
              </w:rPr>
            </w:pPr>
          </w:p>
        </w:tc>
        <w:tc>
          <w:tcPr>
            <w:tcW w:w="887" w:type="dxa"/>
          </w:tcPr>
          <w:p w14:paraId="6310984E" w14:textId="77777777" w:rsidR="0042504F" w:rsidRPr="00406187" w:rsidRDefault="0042504F" w:rsidP="0063690F">
            <w:pPr>
              <w:rPr>
                <w:sz w:val="20"/>
                <w:szCs w:val="20"/>
                <w:lang w:val="en-IE"/>
              </w:rPr>
            </w:pPr>
          </w:p>
        </w:tc>
        <w:tc>
          <w:tcPr>
            <w:tcW w:w="989" w:type="dxa"/>
            <w:vAlign w:val="bottom"/>
          </w:tcPr>
          <w:p w14:paraId="0EAFDD01" w14:textId="77777777" w:rsidR="0042504F" w:rsidRPr="00406187" w:rsidRDefault="0042504F" w:rsidP="0063690F">
            <w:pPr>
              <w:jc w:val="right"/>
              <w:rPr>
                <w:sz w:val="20"/>
                <w:szCs w:val="20"/>
                <w:lang w:val="en-IE"/>
              </w:rPr>
            </w:pPr>
            <w:r w:rsidRPr="00406187">
              <w:rPr>
                <w:sz w:val="20"/>
                <w:szCs w:val="20"/>
                <w:lang w:val="en-IE"/>
              </w:rPr>
              <w:t>0.166</w:t>
            </w:r>
          </w:p>
        </w:tc>
        <w:tc>
          <w:tcPr>
            <w:tcW w:w="887" w:type="dxa"/>
            <w:vAlign w:val="bottom"/>
          </w:tcPr>
          <w:p w14:paraId="0BBE1BB9"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59A3746F" w14:textId="77777777" w:rsidTr="00406187">
        <w:tc>
          <w:tcPr>
            <w:tcW w:w="2802" w:type="dxa"/>
            <w:vAlign w:val="bottom"/>
          </w:tcPr>
          <w:p w14:paraId="331E5712" w14:textId="77777777" w:rsidR="0042504F" w:rsidRPr="00406187" w:rsidRDefault="0042504F" w:rsidP="0063690F">
            <w:pPr>
              <w:rPr>
                <w:sz w:val="20"/>
                <w:szCs w:val="20"/>
                <w:lang w:val="en-IE"/>
              </w:rPr>
            </w:pPr>
            <w:r w:rsidRPr="00406187">
              <w:rPr>
                <w:sz w:val="20"/>
                <w:szCs w:val="20"/>
                <w:lang w:val="en-IE"/>
              </w:rPr>
              <w:t xml:space="preserve">  Not given</w:t>
            </w:r>
          </w:p>
        </w:tc>
        <w:tc>
          <w:tcPr>
            <w:tcW w:w="258" w:type="dxa"/>
          </w:tcPr>
          <w:p w14:paraId="2DFF1E8A" w14:textId="77777777" w:rsidR="0042504F" w:rsidRPr="00406187" w:rsidRDefault="0042504F" w:rsidP="0063690F">
            <w:pPr>
              <w:rPr>
                <w:sz w:val="20"/>
                <w:szCs w:val="20"/>
                <w:lang w:val="en-IE"/>
              </w:rPr>
            </w:pPr>
          </w:p>
        </w:tc>
        <w:tc>
          <w:tcPr>
            <w:tcW w:w="888" w:type="dxa"/>
          </w:tcPr>
          <w:p w14:paraId="2F43552C" w14:textId="77777777" w:rsidR="0042504F" w:rsidRPr="00406187" w:rsidRDefault="0042504F" w:rsidP="0063690F">
            <w:pPr>
              <w:rPr>
                <w:sz w:val="20"/>
                <w:szCs w:val="20"/>
                <w:lang w:val="en-IE"/>
              </w:rPr>
            </w:pPr>
          </w:p>
        </w:tc>
        <w:tc>
          <w:tcPr>
            <w:tcW w:w="989" w:type="dxa"/>
          </w:tcPr>
          <w:p w14:paraId="452745F0" w14:textId="77777777" w:rsidR="0042504F" w:rsidRPr="00406187" w:rsidRDefault="0042504F" w:rsidP="0063690F">
            <w:pPr>
              <w:rPr>
                <w:sz w:val="20"/>
                <w:szCs w:val="20"/>
                <w:lang w:val="en-IE"/>
              </w:rPr>
            </w:pPr>
          </w:p>
        </w:tc>
        <w:tc>
          <w:tcPr>
            <w:tcW w:w="887" w:type="dxa"/>
          </w:tcPr>
          <w:p w14:paraId="0EB2D092" w14:textId="77777777" w:rsidR="0042504F" w:rsidRPr="00406187" w:rsidRDefault="0042504F" w:rsidP="0063690F">
            <w:pPr>
              <w:rPr>
                <w:sz w:val="20"/>
                <w:szCs w:val="20"/>
                <w:lang w:val="en-IE"/>
              </w:rPr>
            </w:pPr>
          </w:p>
        </w:tc>
        <w:tc>
          <w:tcPr>
            <w:tcW w:w="989" w:type="dxa"/>
          </w:tcPr>
          <w:p w14:paraId="7CF83658" w14:textId="77777777" w:rsidR="0042504F" w:rsidRPr="00406187" w:rsidRDefault="0042504F" w:rsidP="0063690F">
            <w:pPr>
              <w:rPr>
                <w:sz w:val="20"/>
                <w:szCs w:val="20"/>
                <w:lang w:val="en-IE"/>
              </w:rPr>
            </w:pPr>
          </w:p>
        </w:tc>
        <w:tc>
          <w:tcPr>
            <w:tcW w:w="887" w:type="dxa"/>
          </w:tcPr>
          <w:p w14:paraId="5949CED8" w14:textId="77777777" w:rsidR="0042504F" w:rsidRPr="00406187" w:rsidRDefault="0042504F" w:rsidP="0063690F">
            <w:pPr>
              <w:rPr>
                <w:sz w:val="20"/>
                <w:szCs w:val="20"/>
                <w:lang w:val="en-IE"/>
              </w:rPr>
            </w:pPr>
          </w:p>
        </w:tc>
        <w:tc>
          <w:tcPr>
            <w:tcW w:w="989" w:type="dxa"/>
            <w:vAlign w:val="bottom"/>
          </w:tcPr>
          <w:p w14:paraId="7F911E7D" w14:textId="77777777" w:rsidR="0042504F" w:rsidRPr="00406187" w:rsidRDefault="0042504F" w:rsidP="0063690F">
            <w:pPr>
              <w:jc w:val="right"/>
              <w:rPr>
                <w:sz w:val="20"/>
                <w:szCs w:val="20"/>
                <w:lang w:val="en-IE"/>
              </w:rPr>
            </w:pPr>
            <w:r w:rsidRPr="00406187">
              <w:rPr>
                <w:sz w:val="20"/>
                <w:szCs w:val="20"/>
                <w:lang w:val="en-IE"/>
              </w:rPr>
              <w:t>1.048</w:t>
            </w:r>
          </w:p>
        </w:tc>
        <w:tc>
          <w:tcPr>
            <w:tcW w:w="887" w:type="dxa"/>
          </w:tcPr>
          <w:p w14:paraId="7D4BA26F" w14:textId="77777777" w:rsidR="0042504F" w:rsidRPr="00406187" w:rsidRDefault="0042504F" w:rsidP="0063690F">
            <w:pPr>
              <w:rPr>
                <w:sz w:val="20"/>
                <w:szCs w:val="20"/>
                <w:lang w:val="en-IE"/>
              </w:rPr>
            </w:pPr>
          </w:p>
        </w:tc>
      </w:tr>
      <w:tr w:rsidR="00406187" w:rsidRPr="00406187" w14:paraId="6C76BCF7" w14:textId="77777777" w:rsidTr="00406187">
        <w:tc>
          <w:tcPr>
            <w:tcW w:w="2802" w:type="dxa"/>
            <w:vAlign w:val="bottom"/>
          </w:tcPr>
          <w:p w14:paraId="6EB6A6C1" w14:textId="77777777" w:rsidR="0042504F" w:rsidRPr="00406187" w:rsidRDefault="0042504F" w:rsidP="0063690F">
            <w:pPr>
              <w:rPr>
                <w:sz w:val="20"/>
                <w:szCs w:val="20"/>
                <w:lang w:val="en-IE"/>
              </w:rPr>
            </w:pPr>
            <w:r w:rsidRPr="00406187">
              <w:rPr>
                <w:sz w:val="20"/>
                <w:szCs w:val="20"/>
                <w:lang w:val="en-IE"/>
              </w:rPr>
              <w:t xml:space="preserve">  Other</w:t>
            </w:r>
          </w:p>
        </w:tc>
        <w:tc>
          <w:tcPr>
            <w:tcW w:w="258" w:type="dxa"/>
          </w:tcPr>
          <w:p w14:paraId="7028318C" w14:textId="77777777" w:rsidR="0042504F" w:rsidRPr="00406187" w:rsidRDefault="0042504F" w:rsidP="0063690F">
            <w:pPr>
              <w:rPr>
                <w:sz w:val="20"/>
                <w:szCs w:val="20"/>
                <w:lang w:val="en-IE"/>
              </w:rPr>
            </w:pPr>
          </w:p>
        </w:tc>
        <w:tc>
          <w:tcPr>
            <w:tcW w:w="888" w:type="dxa"/>
          </w:tcPr>
          <w:p w14:paraId="5101B661" w14:textId="77777777" w:rsidR="0042504F" w:rsidRPr="00406187" w:rsidRDefault="0042504F" w:rsidP="0063690F">
            <w:pPr>
              <w:rPr>
                <w:sz w:val="20"/>
                <w:szCs w:val="20"/>
                <w:lang w:val="en-IE"/>
              </w:rPr>
            </w:pPr>
          </w:p>
        </w:tc>
        <w:tc>
          <w:tcPr>
            <w:tcW w:w="989" w:type="dxa"/>
          </w:tcPr>
          <w:p w14:paraId="49BE7E14" w14:textId="77777777" w:rsidR="0042504F" w:rsidRPr="00406187" w:rsidRDefault="0042504F" w:rsidP="0063690F">
            <w:pPr>
              <w:rPr>
                <w:sz w:val="20"/>
                <w:szCs w:val="20"/>
                <w:lang w:val="en-IE"/>
              </w:rPr>
            </w:pPr>
          </w:p>
        </w:tc>
        <w:tc>
          <w:tcPr>
            <w:tcW w:w="887" w:type="dxa"/>
          </w:tcPr>
          <w:p w14:paraId="2BF7B31D" w14:textId="77777777" w:rsidR="0042504F" w:rsidRPr="00406187" w:rsidRDefault="0042504F" w:rsidP="0063690F">
            <w:pPr>
              <w:rPr>
                <w:sz w:val="20"/>
                <w:szCs w:val="20"/>
                <w:lang w:val="en-IE"/>
              </w:rPr>
            </w:pPr>
          </w:p>
        </w:tc>
        <w:tc>
          <w:tcPr>
            <w:tcW w:w="989" w:type="dxa"/>
          </w:tcPr>
          <w:p w14:paraId="589F1DF3" w14:textId="77777777" w:rsidR="0042504F" w:rsidRPr="00406187" w:rsidRDefault="0042504F" w:rsidP="0063690F">
            <w:pPr>
              <w:rPr>
                <w:sz w:val="20"/>
                <w:szCs w:val="20"/>
                <w:lang w:val="en-IE"/>
              </w:rPr>
            </w:pPr>
          </w:p>
        </w:tc>
        <w:tc>
          <w:tcPr>
            <w:tcW w:w="887" w:type="dxa"/>
          </w:tcPr>
          <w:p w14:paraId="6B4CD8E1" w14:textId="77777777" w:rsidR="0042504F" w:rsidRPr="00406187" w:rsidRDefault="0042504F" w:rsidP="0063690F">
            <w:pPr>
              <w:rPr>
                <w:sz w:val="20"/>
                <w:szCs w:val="20"/>
                <w:lang w:val="en-IE"/>
              </w:rPr>
            </w:pPr>
          </w:p>
        </w:tc>
        <w:tc>
          <w:tcPr>
            <w:tcW w:w="989" w:type="dxa"/>
            <w:vAlign w:val="bottom"/>
          </w:tcPr>
          <w:p w14:paraId="7E291543" w14:textId="77777777" w:rsidR="0042504F" w:rsidRPr="00406187" w:rsidRDefault="0042504F" w:rsidP="0063690F">
            <w:pPr>
              <w:jc w:val="right"/>
              <w:rPr>
                <w:sz w:val="20"/>
                <w:szCs w:val="20"/>
                <w:lang w:val="en-IE"/>
              </w:rPr>
            </w:pPr>
            <w:r w:rsidRPr="00406187">
              <w:rPr>
                <w:sz w:val="20"/>
                <w:szCs w:val="20"/>
                <w:lang w:val="en-IE"/>
              </w:rPr>
              <w:t>0.866</w:t>
            </w:r>
          </w:p>
        </w:tc>
        <w:tc>
          <w:tcPr>
            <w:tcW w:w="887" w:type="dxa"/>
            <w:vAlign w:val="bottom"/>
          </w:tcPr>
          <w:p w14:paraId="0921B057"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71BDE764" w14:textId="77777777" w:rsidTr="00406187">
        <w:tc>
          <w:tcPr>
            <w:tcW w:w="2802" w:type="dxa"/>
            <w:vAlign w:val="bottom"/>
          </w:tcPr>
          <w:p w14:paraId="223C34E3" w14:textId="77777777" w:rsidR="0042504F" w:rsidRPr="00406187" w:rsidRDefault="0042504F" w:rsidP="0063690F">
            <w:pPr>
              <w:rPr>
                <w:sz w:val="20"/>
                <w:szCs w:val="20"/>
                <w:lang w:val="en-IE"/>
              </w:rPr>
            </w:pPr>
            <w:r w:rsidRPr="00406187">
              <w:rPr>
                <w:sz w:val="20"/>
                <w:szCs w:val="20"/>
                <w:lang w:val="en-IE"/>
              </w:rPr>
              <w:t>Intercept</w:t>
            </w:r>
          </w:p>
        </w:tc>
        <w:tc>
          <w:tcPr>
            <w:tcW w:w="258" w:type="dxa"/>
            <w:vAlign w:val="bottom"/>
          </w:tcPr>
          <w:p w14:paraId="7AC5A454" w14:textId="77777777" w:rsidR="0042504F" w:rsidRPr="00406187" w:rsidRDefault="0042504F" w:rsidP="0063690F">
            <w:pPr>
              <w:jc w:val="right"/>
              <w:rPr>
                <w:sz w:val="20"/>
                <w:szCs w:val="20"/>
                <w:lang w:val="en-IE"/>
              </w:rPr>
            </w:pPr>
            <w:r w:rsidRPr="00406187">
              <w:rPr>
                <w:sz w:val="20"/>
                <w:szCs w:val="20"/>
                <w:lang w:val="en-IE"/>
              </w:rPr>
              <w:t>0.157</w:t>
            </w:r>
          </w:p>
        </w:tc>
        <w:tc>
          <w:tcPr>
            <w:tcW w:w="888" w:type="dxa"/>
            <w:vAlign w:val="bottom"/>
          </w:tcPr>
          <w:p w14:paraId="0B3E2FBE"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6BBA3E00" w14:textId="77777777" w:rsidR="0042504F" w:rsidRPr="00406187" w:rsidRDefault="0042504F" w:rsidP="0063690F">
            <w:pPr>
              <w:jc w:val="right"/>
              <w:rPr>
                <w:sz w:val="20"/>
                <w:szCs w:val="20"/>
                <w:lang w:val="en-IE"/>
              </w:rPr>
            </w:pPr>
            <w:r w:rsidRPr="00406187">
              <w:rPr>
                <w:sz w:val="20"/>
                <w:szCs w:val="20"/>
                <w:lang w:val="en-IE"/>
              </w:rPr>
              <w:t>0.096</w:t>
            </w:r>
          </w:p>
        </w:tc>
        <w:tc>
          <w:tcPr>
            <w:tcW w:w="887" w:type="dxa"/>
            <w:vAlign w:val="bottom"/>
          </w:tcPr>
          <w:p w14:paraId="62E965C2"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2EF1A2B6" w14:textId="77777777" w:rsidR="0042504F" w:rsidRPr="00406187" w:rsidRDefault="0042504F" w:rsidP="0063690F">
            <w:pPr>
              <w:jc w:val="right"/>
              <w:rPr>
                <w:sz w:val="20"/>
                <w:szCs w:val="20"/>
                <w:lang w:val="en-IE"/>
              </w:rPr>
            </w:pPr>
            <w:r w:rsidRPr="00406187">
              <w:rPr>
                <w:sz w:val="20"/>
                <w:szCs w:val="20"/>
                <w:lang w:val="en-IE"/>
              </w:rPr>
              <w:t>0.059</w:t>
            </w:r>
          </w:p>
        </w:tc>
        <w:tc>
          <w:tcPr>
            <w:tcW w:w="887" w:type="dxa"/>
            <w:vAlign w:val="bottom"/>
          </w:tcPr>
          <w:p w14:paraId="06FBF4CA" w14:textId="77777777" w:rsidR="0042504F" w:rsidRPr="00406187" w:rsidRDefault="0042504F" w:rsidP="0063690F">
            <w:pPr>
              <w:rPr>
                <w:sz w:val="20"/>
                <w:szCs w:val="20"/>
                <w:lang w:val="en-IE"/>
              </w:rPr>
            </w:pPr>
            <w:r w:rsidRPr="00406187">
              <w:rPr>
                <w:sz w:val="20"/>
                <w:szCs w:val="20"/>
                <w:lang w:val="en-IE"/>
              </w:rPr>
              <w:t>***</w:t>
            </w:r>
          </w:p>
        </w:tc>
        <w:tc>
          <w:tcPr>
            <w:tcW w:w="989" w:type="dxa"/>
            <w:vAlign w:val="bottom"/>
          </w:tcPr>
          <w:p w14:paraId="0AEAA69A" w14:textId="77777777" w:rsidR="0042504F" w:rsidRPr="00406187" w:rsidRDefault="0042504F" w:rsidP="0063690F">
            <w:pPr>
              <w:jc w:val="right"/>
              <w:rPr>
                <w:sz w:val="20"/>
                <w:szCs w:val="20"/>
                <w:lang w:val="en-IE"/>
              </w:rPr>
            </w:pPr>
            <w:r w:rsidRPr="00406187">
              <w:rPr>
                <w:sz w:val="20"/>
                <w:szCs w:val="20"/>
                <w:lang w:val="en-IE"/>
              </w:rPr>
              <w:t>0.139</w:t>
            </w:r>
          </w:p>
        </w:tc>
        <w:tc>
          <w:tcPr>
            <w:tcW w:w="887" w:type="dxa"/>
            <w:vAlign w:val="bottom"/>
          </w:tcPr>
          <w:p w14:paraId="670624C7" w14:textId="77777777" w:rsidR="0042504F" w:rsidRPr="00406187" w:rsidRDefault="0042504F" w:rsidP="0063690F">
            <w:pPr>
              <w:rPr>
                <w:sz w:val="20"/>
                <w:szCs w:val="20"/>
                <w:lang w:val="en-IE"/>
              </w:rPr>
            </w:pPr>
            <w:r w:rsidRPr="00406187">
              <w:rPr>
                <w:sz w:val="20"/>
                <w:szCs w:val="20"/>
                <w:lang w:val="en-IE"/>
              </w:rPr>
              <w:t>***</w:t>
            </w:r>
          </w:p>
        </w:tc>
      </w:tr>
      <w:tr w:rsidR="00406187" w:rsidRPr="00406187" w14:paraId="2568756D" w14:textId="77777777" w:rsidTr="00406187">
        <w:tc>
          <w:tcPr>
            <w:tcW w:w="2802" w:type="dxa"/>
            <w:vAlign w:val="bottom"/>
          </w:tcPr>
          <w:p w14:paraId="1D62E642" w14:textId="77777777" w:rsidR="0042504F" w:rsidRPr="00406187" w:rsidRDefault="0042504F" w:rsidP="0063690F">
            <w:pPr>
              <w:rPr>
                <w:sz w:val="20"/>
                <w:szCs w:val="20"/>
                <w:lang w:val="en-IE"/>
              </w:rPr>
            </w:pPr>
            <w:r w:rsidRPr="00406187">
              <w:rPr>
                <w:sz w:val="20"/>
                <w:szCs w:val="20"/>
                <w:lang w:val="en-IE"/>
              </w:rPr>
              <w:t>Pseudo R2</w:t>
            </w:r>
          </w:p>
        </w:tc>
        <w:tc>
          <w:tcPr>
            <w:tcW w:w="258" w:type="dxa"/>
            <w:vAlign w:val="bottom"/>
          </w:tcPr>
          <w:p w14:paraId="7628406C" w14:textId="77777777" w:rsidR="0042504F" w:rsidRPr="00406187" w:rsidRDefault="0042504F" w:rsidP="0063690F">
            <w:pPr>
              <w:jc w:val="right"/>
              <w:rPr>
                <w:sz w:val="20"/>
                <w:szCs w:val="20"/>
                <w:lang w:val="en-IE"/>
              </w:rPr>
            </w:pPr>
            <w:r w:rsidRPr="00406187">
              <w:rPr>
                <w:sz w:val="20"/>
                <w:szCs w:val="20"/>
                <w:lang w:val="en-IE"/>
              </w:rPr>
              <w:t>0.0061</w:t>
            </w:r>
          </w:p>
        </w:tc>
        <w:tc>
          <w:tcPr>
            <w:tcW w:w="888" w:type="dxa"/>
          </w:tcPr>
          <w:p w14:paraId="013C7642" w14:textId="77777777" w:rsidR="0042504F" w:rsidRPr="00406187" w:rsidRDefault="0042504F" w:rsidP="0063690F">
            <w:pPr>
              <w:rPr>
                <w:sz w:val="20"/>
                <w:szCs w:val="20"/>
                <w:lang w:val="en-IE"/>
              </w:rPr>
            </w:pPr>
          </w:p>
        </w:tc>
        <w:tc>
          <w:tcPr>
            <w:tcW w:w="989" w:type="dxa"/>
            <w:vAlign w:val="bottom"/>
          </w:tcPr>
          <w:p w14:paraId="079181BF" w14:textId="77777777" w:rsidR="0042504F" w:rsidRPr="00406187" w:rsidRDefault="0042504F" w:rsidP="0063690F">
            <w:pPr>
              <w:jc w:val="right"/>
              <w:rPr>
                <w:sz w:val="20"/>
                <w:szCs w:val="20"/>
                <w:lang w:val="en-IE"/>
              </w:rPr>
            </w:pPr>
            <w:r w:rsidRPr="00406187">
              <w:rPr>
                <w:sz w:val="20"/>
                <w:szCs w:val="20"/>
                <w:lang w:val="en-IE"/>
              </w:rPr>
              <w:t>0.0188</w:t>
            </w:r>
          </w:p>
        </w:tc>
        <w:tc>
          <w:tcPr>
            <w:tcW w:w="887" w:type="dxa"/>
          </w:tcPr>
          <w:p w14:paraId="742B1F9A" w14:textId="77777777" w:rsidR="0042504F" w:rsidRPr="00406187" w:rsidRDefault="0042504F" w:rsidP="0063690F">
            <w:pPr>
              <w:rPr>
                <w:sz w:val="20"/>
                <w:szCs w:val="20"/>
                <w:lang w:val="en-IE"/>
              </w:rPr>
            </w:pPr>
          </w:p>
        </w:tc>
        <w:tc>
          <w:tcPr>
            <w:tcW w:w="989" w:type="dxa"/>
            <w:vAlign w:val="bottom"/>
          </w:tcPr>
          <w:p w14:paraId="35684A86" w14:textId="77777777" w:rsidR="0042504F" w:rsidRPr="00406187" w:rsidRDefault="0042504F" w:rsidP="0063690F">
            <w:pPr>
              <w:jc w:val="right"/>
              <w:rPr>
                <w:sz w:val="20"/>
                <w:szCs w:val="20"/>
                <w:lang w:val="en-IE"/>
              </w:rPr>
            </w:pPr>
            <w:r w:rsidRPr="00406187">
              <w:rPr>
                <w:sz w:val="20"/>
                <w:szCs w:val="20"/>
                <w:lang w:val="en-IE"/>
              </w:rPr>
              <w:t>0.0528</w:t>
            </w:r>
          </w:p>
        </w:tc>
        <w:tc>
          <w:tcPr>
            <w:tcW w:w="887" w:type="dxa"/>
          </w:tcPr>
          <w:p w14:paraId="7CFFC460" w14:textId="77777777" w:rsidR="0042504F" w:rsidRPr="00406187" w:rsidRDefault="0042504F" w:rsidP="0063690F">
            <w:pPr>
              <w:rPr>
                <w:sz w:val="20"/>
                <w:szCs w:val="20"/>
                <w:lang w:val="en-IE"/>
              </w:rPr>
            </w:pPr>
          </w:p>
        </w:tc>
        <w:tc>
          <w:tcPr>
            <w:tcW w:w="989" w:type="dxa"/>
            <w:vAlign w:val="bottom"/>
          </w:tcPr>
          <w:p w14:paraId="7B1DA4F0" w14:textId="77777777" w:rsidR="0042504F" w:rsidRPr="00406187" w:rsidRDefault="0042504F" w:rsidP="0063690F">
            <w:pPr>
              <w:jc w:val="right"/>
              <w:rPr>
                <w:sz w:val="20"/>
                <w:szCs w:val="20"/>
                <w:lang w:val="en-IE"/>
              </w:rPr>
            </w:pPr>
            <w:r w:rsidRPr="00406187">
              <w:rPr>
                <w:sz w:val="20"/>
                <w:szCs w:val="20"/>
                <w:lang w:val="en-IE"/>
              </w:rPr>
              <w:t>0.0892</w:t>
            </w:r>
          </w:p>
        </w:tc>
        <w:tc>
          <w:tcPr>
            <w:tcW w:w="887" w:type="dxa"/>
          </w:tcPr>
          <w:p w14:paraId="3B4D7403" w14:textId="77777777" w:rsidR="0042504F" w:rsidRPr="00406187" w:rsidRDefault="0042504F" w:rsidP="0063690F">
            <w:pPr>
              <w:rPr>
                <w:sz w:val="20"/>
                <w:szCs w:val="20"/>
                <w:lang w:val="en-IE"/>
              </w:rPr>
            </w:pPr>
          </w:p>
        </w:tc>
      </w:tr>
      <w:tr w:rsidR="0042504F" w:rsidRPr="00406187" w14:paraId="1047BF2F" w14:textId="77777777" w:rsidTr="00406187">
        <w:tc>
          <w:tcPr>
            <w:tcW w:w="0" w:type="auto"/>
            <w:gridSpan w:val="9"/>
          </w:tcPr>
          <w:p w14:paraId="336DA460" w14:textId="77777777" w:rsidR="0042504F" w:rsidRPr="00406187" w:rsidRDefault="0042504F" w:rsidP="0063690F">
            <w:pPr>
              <w:rPr>
                <w:sz w:val="20"/>
                <w:szCs w:val="20"/>
                <w:lang w:val="en-IE"/>
              </w:rPr>
            </w:pPr>
            <w:r w:rsidRPr="00406187">
              <w:rPr>
                <w:rFonts w:ascii="Calibri" w:eastAsia="Calibri" w:hAnsi="Calibri" w:cs="Calibri"/>
                <w:i/>
                <w:sz w:val="20"/>
                <w:szCs w:val="20"/>
                <w:lang w:val="en-IE"/>
              </w:rPr>
              <w:t>*** p&lt;.001, ** p&lt;.01, * p&lt;.05</w:t>
            </w:r>
            <w:r w:rsidRPr="00406187">
              <w:rPr>
                <w:rFonts w:ascii="Calibri" w:eastAsia="Calibri" w:hAnsi="Calibri" w:cs="Calibri"/>
                <w:i/>
                <w:sz w:val="20"/>
                <w:szCs w:val="20"/>
                <w:lang w:val="en-IE"/>
              </w:rPr>
              <w:br/>
              <w:t>Model 1: Unadjusted</w:t>
            </w:r>
            <w:r w:rsidRPr="00406187">
              <w:rPr>
                <w:rFonts w:ascii="Calibri" w:eastAsia="Calibri" w:hAnsi="Calibri" w:cs="Calibri"/>
                <w:i/>
                <w:sz w:val="20"/>
                <w:szCs w:val="20"/>
                <w:lang w:val="en-IE"/>
              </w:rPr>
              <w:br/>
              <w:t xml:space="preserve">Model 2: </w:t>
            </w:r>
            <w:proofErr w:type="spellStart"/>
            <w:r w:rsidRPr="00406187">
              <w:rPr>
                <w:rFonts w:ascii="Calibri" w:eastAsia="Calibri" w:hAnsi="Calibri" w:cs="Calibri"/>
                <w:i/>
                <w:sz w:val="20"/>
                <w:szCs w:val="20"/>
                <w:lang w:val="en-IE"/>
              </w:rPr>
              <w:t>Sociodem</w:t>
            </w:r>
            <w:proofErr w:type="spellEnd"/>
            <w:r w:rsidRPr="00406187">
              <w:rPr>
                <w:rFonts w:ascii="Calibri" w:eastAsia="Calibri" w:hAnsi="Calibri" w:cs="Calibri"/>
                <w:i/>
                <w:sz w:val="20"/>
                <w:szCs w:val="20"/>
                <w:lang w:val="en-IE"/>
              </w:rPr>
              <w:br/>
              <w:t xml:space="preserve">Model 3: </w:t>
            </w:r>
            <w:proofErr w:type="spellStart"/>
            <w:r w:rsidRPr="00406187">
              <w:rPr>
                <w:rFonts w:ascii="Calibri" w:eastAsia="Calibri" w:hAnsi="Calibri" w:cs="Calibri"/>
                <w:i/>
                <w:sz w:val="20"/>
                <w:szCs w:val="20"/>
                <w:lang w:val="en-IE"/>
              </w:rPr>
              <w:t>HE_factors</w:t>
            </w:r>
            <w:proofErr w:type="spellEnd"/>
            <w:r w:rsidRPr="00406187">
              <w:rPr>
                <w:rFonts w:ascii="Calibri" w:eastAsia="Calibri" w:hAnsi="Calibri" w:cs="Calibri"/>
                <w:i/>
                <w:sz w:val="20"/>
                <w:szCs w:val="20"/>
                <w:lang w:val="en-IE"/>
              </w:rPr>
              <w:br/>
              <w:t xml:space="preserve">Model 4: </w:t>
            </w:r>
            <w:proofErr w:type="spellStart"/>
            <w:r w:rsidRPr="00406187">
              <w:rPr>
                <w:rFonts w:ascii="Calibri" w:eastAsia="Calibri" w:hAnsi="Calibri" w:cs="Calibri"/>
                <w:i/>
                <w:sz w:val="20"/>
                <w:szCs w:val="20"/>
                <w:lang w:val="en-IE"/>
              </w:rPr>
              <w:t>School_factors</w:t>
            </w:r>
            <w:proofErr w:type="spellEnd"/>
          </w:p>
        </w:tc>
      </w:tr>
    </w:tbl>
    <w:p w14:paraId="1F149A8F" w14:textId="77777777" w:rsidR="00B966EE" w:rsidRPr="00B966EE" w:rsidRDefault="00B966EE" w:rsidP="00B966EE">
      <w:pPr>
        <w:rPr>
          <w:lang w:val="en-US"/>
        </w:rPr>
      </w:pPr>
    </w:p>
    <w:sectPr w:rsidR="00B966EE" w:rsidRPr="00B96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53BA8" w14:textId="77777777" w:rsidR="001052E6" w:rsidRDefault="001052E6" w:rsidP="001052E6">
      <w:pPr>
        <w:spacing w:after="0" w:line="240" w:lineRule="auto"/>
      </w:pPr>
      <w:r>
        <w:separator/>
      </w:r>
    </w:p>
  </w:endnote>
  <w:endnote w:type="continuationSeparator" w:id="0">
    <w:p w14:paraId="1827BC0E" w14:textId="77777777" w:rsidR="001052E6" w:rsidRDefault="001052E6" w:rsidP="0010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8D7C" w14:textId="77777777" w:rsidR="001052E6" w:rsidRDefault="001052E6" w:rsidP="001052E6">
      <w:pPr>
        <w:spacing w:after="0" w:line="240" w:lineRule="auto"/>
      </w:pPr>
      <w:r>
        <w:separator/>
      </w:r>
    </w:p>
  </w:footnote>
  <w:footnote w:type="continuationSeparator" w:id="0">
    <w:p w14:paraId="6AC049F2" w14:textId="77777777" w:rsidR="001052E6" w:rsidRDefault="001052E6" w:rsidP="001052E6">
      <w:pPr>
        <w:spacing w:after="0" w:line="240" w:lineRule="auto"/>
      </w:pPr>
      <w:r>
        <w:continuationSeparator/>
      </w:r>
    </w:p>
  </w:footnote>
  <w:footnote w:id="1">
    <w:p w14:paraId="72D5828C" w14:textId="05C59822" w:rsidR="00DD1B85" w:rsidRPr="00DD1B85" w:rsidRDefault="00DD1B85">
      <w:pPr>
        <w:pStyle w:val="FootnoteText"/>
        <w:rPr>
          <w:lang w:val="en-US"/>
        </w:rPr>
      </w:pPr>
      <w:r>
        <w:rPr>
          <w:rStyle w:val="FootnoteReference"/>
        </w:rPr>
        <w:footnoteRef/>
      </w:r>
      <w:r>
        <w:t xml:space="preserve"> </w:t>
      </w:r>
      <w:r w:rsidRPr="00DD1B85">
        <w:t>https://hea.ie/statistics/data-for-download-and-visualisations/students/progression/non-progression-and-completion-dashboard/</w:t>
      </w:r>
    </w:p>
  </w:footnote>
  <w:footnote w:id="2">
    <w:p w14:paraId="08351713" w14:textId="08E65D22" w:rsidR="001052E6" w:rsidRPr="001052E6" w:rsidRDefault="001052E6">
      <w:pPr>
        <w:pStyle w:val="FootnoteText"/>
        <w:rPr>
          <w:lang w:val="en-US"/>
        </w:rPr>
      </w:pPr>
      <w:r>
        <w:rPr>
          <w:rStyle w:val="FootnoteReference"/>
        </w:rPr>
        <w:footnoteRef/>
      </w:r>
      <w:r>
        <w:t xml:space="preserve"> </w:t>
      </w:r>
      <w:r>
        <w:rPr>
          <w:lang w:val="en-US"/>
        </w:rPr>
        <w:t>Over the observed period of analysis 2017/18 to 2021/22, there have been adjustments to the income thresholds applying to special rate bands (those noted as less than €24,500 above). The income thresholds noted in figure</w:t>
      </w:r>
      <w:r w:rsidR="00DC0B31">
        <w:rPr>
          <w:lang w:val="en-US"/>
        </w:rPr>
        <w:t>s 9 and 10</w:t>
      </w:r>
      <w:r>
        <w:rPr>
          <w:lang w:val="en-US"/>
        </w:rPr>
        <w:t xml:space="preserve"> for special rate bands are those employed in the 2021/22. All other income thresholds were constant throughout the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32C25"/>
    <w:multiLevelType w:val="hybridMultilevel"/>
    <w:tmpl w:val="A568F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4892313"/>
    <w:multiLevelType w:val="hybridMultilevel"/>
    <w:tmpl w:val="6CE65690"/>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num w:numId="1" w16cid:durableId="1798177964">
    <w:abstractNumId w:val="1"/>
  </w:num>
  <w:num w:numId="2" w16cid:durableId="136953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966EE"/>
    <w:rsid w:val="00016696"/>
    <w:rsid w:val="00033E4F"/>
    <w:rsid w:val="00034FB4"/>
    <w:rsid w:val="00070774"/>
    <w:rsid w:val="000B68ED"/>
    <w:rsid w:val="000D6985"/>
    <w:rsid w:val="000E634F"/>
    <w:rsid w:val="001052E6"/>
    <w:rsid w:val="00117350"/>
    <w:rsid w:val="00135F91"/>
    <w:rsid w:val="00147F3B"/>
    <w:rsid w:val="00151E54"/>
    <w:rsid w:val="001534E9"/>
    <w:rsid w:val="00171448"/>
    <w:rsid w:val="00180841"/>
    <w:rsid w:val="001851F9"/>
    <w:rsid w:val="001A7428"/>
    <w:rsid w:val="001E2656"/>
    <w:rsid w:val="001F771C"/>
    <w:rsid w:val="00207548"/>
    <w:rsid w:val="002209BD"/>
    <w:rsid w:val="00235FD4"/>
    <w:rsid w:val="00260FCD"/>
    <w:rsid w:val="002931E5"/>
    <w:rsid w:val="002F5D92"/>
    <w:rsid w:val="00305C0D"/>
    <w:rsid w:val="003261E8"/>
    <w:rsid w:val="003363A7"/>
    <w:rsid w:val="00350DD6"/>
    <w:rsid w:val="00371730"/>
    <w:rsid w:val="003853EC"/>
    <w:rsid w:val="003A2739"/>
    <w:rsid w:val="003B2C3C"/>
    <w:rsid w:val="003C2B79"/>
    <w:rsid w:val="003D504D"/>
    <w:rsid w:val="003E0C28"/>
    <w:rsid w:val="003E7017"/>
    <w:rsid w:val="003E7F61"/>
    <w:rsid w:val="00406187"/>
    <w:rsid w:val="0042504F"/>
    <w:rsid w:val="0044335E"/>
    <w:rsid w:val="00480380"/>
    <w:rsid w:val="004C6251"/>
    <w:rsid w:val="004F3FED"/>
    <w:rsid w:val="004F5DD4"/>
    <w:rsid w:val="00512AA7"/>
    <w:rsid w:val="00526ED5"/>
    <w:rsid w:val="00533313"/>
    <w:rsid w:val="00536C6A"/>
    <w:rsid w:val="00550388"/>
    <w:rsid w:val="005958E7"/>
    <w:rsid w:val="005A56D4"/>
    <w:rsid w:val="00600D4F"/>
    <w:rsid w:val="00602AAF"/>
    <w:rsid w:val="0060726B"/>
    <w:rsid w:val="00645809"/>
    <w:rsid w:val="00652C2D"/>
    <w:rsid w:val="0065387B"/>
    <w:rsid w:val="00656439"/>
    <w:rsid w:val="006612EB"/>
    <w:rsid w:val="00663869"/>
    <w:rsid w:val="006667B1"/>
    <w:rsid w:val="006F0721"/>
    <w:rsid w:val="00727785"/>
    <w:rsid w:val="007A27DD"/>
    <w:rsid w:val="007B49D4"/>
    <w:rsid w:val="007D4826"/>
    <w:rsid w:val="008057AD"/>
    <w:rsid w:val="00812C2A"/>
    <w:rsid w:val="00817385"/>
    <w:rsid w:val="00820F1B"/>
    <w:rsid w:val="00830BF1"/>
    <w:rsid w:val="00847F37"/>
    <w:rsid w:val="0085494A"/>
    <w:rsid w:val="008578A0"/>
    <w:rsid w:val="008939B6"/>
    <w:rsid w:val="00894F66"/>
    <w:rsid w:val="008C2581"/>
    <w:rsid w:val="008D2CAC"/>
    <w:rsid w:val="008D3180"/>
    <w:rsid w:val="008E5B28"/>
    <w:rsid w:val="00920F34"/>
    <w:rsid w:val="00977AC6"/>
    <w:rsid w:val="009C0A99"/>
    <w:rsid w:val="009D1DE8"/>
    <w:rsid w:val="009F2172"/>
    <w:rsid w:val="00A068A8"/>
    <w:rsid w:val="00A14187"/>
    <w:rsid w:val="00A23CB8"/>
    <w:rsid w:val="00A377F9"/>
    <w:rsid w:val="00A41FEE"/>
    <w:rsid w:val="00A5492D"/>
    <w:rsid w:val="00A63A4E"/>
    <w:rsid w:val="00AA2EEA"/>
    <w:rsid w:val="00AD7356"/>
    <w:rsid w:val="00B06327"/>
    <w:rsid w:val="00B65163"/>
    <w:rsid w:val="00B85CBC"/>
    <w:rsid w:val="00B903B3"/>
    <w:rsid w:val="00B966EE"/>
    <w:rsid w:val="00BB4395"/>
    <w:rsid w:val="00BF327A"/>
    <w:rsid w:val="00C50E54"/>
    <w:rsid w:val="00C74E59"/>
    <w:rsid w:val="00CA666A"/>
    <w:rsid w:val="00CB2330"/>
    <w:rsid w:val="00CF7386"/>
    <w:rsid w:val="00D102C8"/>
    <w:rsid w:val="00D11B97"/>
    <w:rsid w:val="00D16347"/>
    <w:rsid w:val="00D24AE8"/>
    <w:rsid w:val="00D34088"/>
    <w:rsid w:val="00D60752"/>
    <w:rsid w:val="00DA0FE3"/>
    <w:rsid w:val="00DB68A8"/>
    <w:rsid w:val="00DC0B31"/>
    <w:rsid w:val="00DD1B85"/>
    <w:rsid w:val="00E15357"/>
    <w:rsid w:val="00E6296D"/>
    <w:rsid w:val="00E65CCE"/>
    <w:rsid w:val="00E66A80"/>
    <w:rsid w:val="00E83D18"/>
    <w:rsid w:val="00E856D1"/>
    <w:rsid w:val="00E958D4"/>
    <w:rsid w:val="00E962BD"/>
    <w:rsid w:val="00E97CDC"/>
    <w:rsid w:val="00ED5868"/>
    <w:rsid w:val="00F25268"/>
    <w:rsid w:val="00F3404F"/>
    <w:rsid w:val="00FA4793"/>
    <w:rsid w:val="00FF06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1DDC"/>
  <w15:docId w15:val="{8E9376EB-D99E-4700-9C4E-E1A9B041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6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6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96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6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6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6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6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6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6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96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6EE"/>
    <w:rPr>
      <w:rFonts w:eastAsiaTheme="majorEastAsia" w:cstheme="majorBidi"/>
      <w:color w:val="272727" w:themeColor="text1" w:themeTint="D8"/>
    </w:rPr>
  </w:style>
  <w:style w:type="paragraph" w:styleId="Title">
    <w:name w:val="Title"/>
    <w:basedOn w:val="Normal"/>
    <w:next w:val="Normal"/>
    <w:link w:val="TitleChar"/>
    <w:uiPriority w:val="10"/>
    <w:qFormat/>
    <w:rsid w:val="00B96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6EE"/>
    <w:pPr>
      <w:spacing w:before="160"/>
      <w:jc w:val="center"/>
    </w:pPr>
    <w:rPr>
      <w:i/>
      <w:iCs/>
      <w:color w:val="404040" w:themeColor="text1" w:themeTint="BF"/>
    </w:rPr>
  </w:style>
  <w:style w:type="character" w:customStyle="1" w:styleId="QuoteChar">
    <w:name w:val="Quote Char"/>
    <w:basedOn w:val="DefaultParagraphFont"/>
    <w:link w:val="Quote"/>
    <w:uiPriority w:val="29"/>
    <w:rsid w:val="00B966EE"/>
    <w:rPr>
      <w:i/>
      <w:iCs/>
      <w:color w:val="404040" w:themeColor="text1" w:themeTint="BF"/>
    </w:rPr>
  </w:style>
  <w:style w:type="paragraph" w:styleId="ListParagraph">
    <w:name w:val="List Paragraph"/>
    <w:basedOn w:val="Normal"/>
    <w:uiPriority w:val="34"/>
    <w:qFormat/>
    <w:rsid w:val="00B966EE"/>
    <w:pPr>
      <w:ind w:left="720"/>
      <w:contextualSpacing/>
    </w:pPr>
  </w:style>
  <w:style w:type="character" w:styleId="IntenseEmphasis">
    <w:name w:val="Intense Emphasis"/>
    <w:basedOn w:val="DefaultParagraphFont"/>
    <w:uiPriority w:val="21"/>
    <w:qFormat/>
    <w:rsid w:val="00B966EE"/>
    <w:rPr>
      <w:i/>
      <w:iCs/>
      <w:color w:val="0F4761" w:themeColor="accent1" w:themeShade="BF"/>
    </w:rPr>
  </w:style>
  <w:style w:type="paragraph" w:styleId="IntenseQuote">
    <w:name w:val="Intense Quote"/>
    <w:basedOn w:val="Normal"/>
    <w:next w:val="Normal"/>
    <w:link w:val="IntenseQuoteChar"/>
    <w:uiPriority w:val="30"/>
    <w:qFormat/>
    <w:rsid w:val="00B96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6EE"/>
    <w:rPr>
      <w:i/>
      <w:iCs/>
      <w:color w:val="0F4761" w:themeColor="accent1" w:themeShade="BF"/>
    </w:rPr>
  </w:style>
  <w:style w:type="character" w:styleId="IntenseReference">
    <w:name w:val="Intense Reference"/>
    <w:basedOn w:val="DefaultParagraphFont"/>
    <w:uiPriority w:val="32"/>
    <w:qFormat/>
    <w:rsid w:val="00B966EE"/>
    <w:rPr>
      <w:b/>
      <w:bCs/>
      <w:smallCaps/>
      <w:color w:val="0F4761" w:themeColor="accent1" w:themeShade="BF"/>
      <w:spacing w:val="5"/>
    </w:rPr>
  </w:style>
  <w:style w:type="table" w:styleId="TableGrid">
    <w:name w:val="Table Grid"/>
    <w:basedOn w:val="TableNormal"/>
    <w:uiPriority w:val="59"/>
    <w:rsid w:val="009D1DE8"/>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85494A"/>
    <w:pPr>
      <w:spacing w:after="200" w:line="240" w:lineRule="auto"/>
    </w:pPr>
    <w:rPr>
      <w:i/>
      <w:iCs/>
      <w:color w:val="0E2841" w:themeColor="text2"/>
      <w:sz w:val="18"/>
      <w:szCs w:val="18"/>
    </w:rPr>
  </w:style>
  <w:style w:type="paragraph" w:styleId="EndnoteText">
    <w:name w:val="endnote text"/>
    <w:basedOn w:val="Normal"/>
    <w:link w:val="EndnoteTextChar"/>
    <w:uiPriority w:val="99"/>
    <w:semiHidden/>
    <w:unhideWhenUsed/>
    <w:rsid w:val="001052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2E6"/>
    <w:rPr>
      <w:sz w:val="20"/>
      <w:szCs w:val="20"/>
    </w:rPr>
  </w:style>
  <w:style w:type="character" w:styleId="EndnoteReference">
    <w:name w:val="endnote reference"/>
    <w:basedOn w:val="DefaultParagraphFont"/>
    <w:uiPriority w:val="99"/>
    <w:semiHidden/>
    <w:unhideWhenUsed/>
    <w:rsid w:val="001052E6"/>
    <w:rPr>
      <w:vertAlign w:val="superscript"/>
    </w:rPr>
  </w:style>
  <w:style w:type="paragraph" w:styleId="FootnoteText">
    <w:name w:val="footnote text"/>
    <w:basedOn w:val="Normal"/>
    <w:link w:val="FootnoteTextChar"/>
    <w:uiPriority w:val="99"/>
    <w:semiHidden/>
    <w:unhideWhenUsed/>
    <w:rsid w:val="001052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2E6"/>
    <w:rPr>
      <w:sz w:val="20"/>
      <w:szCs w:val="20"/>
    </w:rPr>
  </w:style>
  <w:style w:type="character" w:styleId="FootnoteReference">
    <w:name w:val="footnote reference"/>
    <w:basedOn w:val="DefaultParagraphFont"/>
    <w:uiPriority w:val="99"/>
    <w:semiHidden/>
    <w:unhideWhenUsed/>
    <w:rsid w:val="001052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FD7DA-CE33-4B8A-889D-C4F75E22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Duggan</dc:creator>
  <cp:keywords/>
  <dc:description/>
  <cp:lastModifiedBy>Valerie Harvey</cp:lastModifiedBy>
  <cp:revision>2</cp:revision>
  <cp:lastPrinted>2024-09-23T08:51:00Z</cp:lastPrinted>
  <dcterms:created xsi:type="dcterms:W3CDTF">2024-09-23T09:53:00Z</dcterms:created>
  <dcterms:modified xsi:type="dcterms:W3CDTF">2024-09-23T09:53:00Z</dcterms:modified>
</cp:coreProperties>
</file>