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3"/>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3"/>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3"/>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3"/>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3"/>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6"/>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6"/>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3"/>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3"/>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3"/>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3"/>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3"/>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rsidRPr="0071074A" w14:paraId="57F421C6" w14:textId="77777777" w:rsidTr="0370C70B">
        <w:trPr>
          <w:trHeight w:val="300"/>
        </w:trPr>
        <w:tc>
          <w:tcPr>
            <w:tcW w:w="10490" w:type="dxa"/>
            <w:gridSpan w:val="2"/>
            <w:shd w:val="clear" w:color="auto" w:fill="70AD47" w:themeFill="accent6"/>
            <w:tcMar>
              <w:left w:w="105" w:type="dxa"/>
              <w:right w:w="105" w:type="dxa"/>
            </w:tcMar>
          </w:tcPr>
          <w:p w14:paraId="21731B89" w14:textId="77777777" w:rsidR="00A6185E" w:rsidRPr="0071074A" w:rsidRDefault="00A6185E" w:rsidP="00722F15">
            <w:pPr>
              <w:spacing w:before="80" w:after="80" w:line="259" w:lineRule="auto"/>
              <w:rPr>
                <w:rFonts w:ascii="Calibri" w:eastAsia="Calibri" w:hAnsi="Calibri" w:cs="Calibri"/>
                <w:b/>
                <w:bCs/>
                <w:color w:val="FFFFFF" w:themeColor="background1"/>
                <w:sz w:val="24"/>
                <w:szCs w:val="24"/>
                <w:lang w:val="en-IE"/>
              </w:rPr>
            </w:pPr>
            <w:r w:rsidRPr="0071074A">
              <w:rPr>
                <w:rFonts w:ascii="Calibri" w:eastAsia="Calibri" w:hAnsi="Calibri" w:cs="Calibri"/>
                <w:b/>
                <w:bCs/>
                <w:color w:val="FFFFFF" w:themeColor="background1"/>
                <w:sz w:val="24"/>
                <w:szCs w:val="24"/>
                <w:lang w:val="en-IE"/>
              </w:rPr>
              <w:t>HEALTHY CAMPUS CASE STUDY</w:t>
            </w:r>
          </w:p>
        </w:tc>
      </w:tr>
      <w:tr w:rsidR="00A6185E" w:rsidRPr="0071074A" w14:paraId="0929E8E7" w14:textId="77777777" w:rsidTr="0370C70B">
        <w:trPr>
          <w:trHeight w:val="300"/>
        </w:trPr>
        <w:tc>
          <w:tcPr>
            <w:tcW w:w="2977" w:type="dxa"/>
            <w:shd w:val="clear" w:color="auto" w:fill="F2F2F2" w:themeFill="background1" w:themeFillShade="F2"/>
            <w:tcMar>
              <w:left w:w="105" w:type="dxa"/>
              <w:right w:w="105" w:type="dxa"/>
            </w:tcMar>
          </w:tcPr>
          <w:p w14:paraId="0F582F00" w14:textId="0CF4AA2A" w:rsidR="00A6185E" w:rsidRPr="0071074A" w:rsidRDefault="00A6185E" w:rsidP="0370C70B">
            <w:pPr>
              <w:pStyle w:val="ListParagraph"/>
              <w:numPr>
                <w:ilvl w:val="0"/>
                <w:numId w:val="9"/>
              </w:numPr>
              <w:jc w:val="both"/>
              <w:rPr>
                <w:rFonts w:eastAsiaTheme="minorEastAsia"/>
                <w:b/>
                <w:bCs/>
              </w:rPr>
            </w:pPr>
            <w:r w:rsidRPr="0071074A">
              <w:rPr>
                <w:rFonts w:eastAsiaTheme="minorEastAsia"/>
                <w:b/>
                <w:bCs/>
              </w:rPr>
              <w:t xml:space="preserve">Project Title </w:t>
            </w:r>
          </w:p>
        </w:tc>
        <w:tc>
          <w:tcPr>
            <w:tcW w:w="7513" w:type="dxa"/>
            <w:tcMar>
              <w:left w:w="105" w:type="dxa"/>
              <w:right w:w="105" w:type="dxa"/>
            </w:tcMar>
          </w:tcPr>
          <w:p w14:paraId="450FC5F4" w14:textId="0D904362" w:rsidR="00A6185E" w:rsidRPr="0071074A" w:rsidRDefault="0018344F" w:rsidP="0370C70B">
            <w:pPr>
              <w:spacing w:before="80" w:after="80" w:line="259" w:lineRule="auto"/>
              <w:rPr>
                <w:rFonts w:eastAsiaTheme="minorEastAsia"/>
                <w:color w:val="3B3838" w:themeColor="background2" w:themeShade="40"/>
                <w:lang w:val="en-IE"/>
              </w:rPr>
            </w:pPr>
            <w:r w:rsidRPr="0071074A">
              <w:rPr>
                <w:rFonts w:eastAsiaTheme="minorEastAsia"/>
                <w:color w:val="3B3838" w:themeColor="background2" w:themeShade="40"/>
                <w:lang w:val="en-IE"/>
              </w:rPr>
              <w:t>Changing Place at RCSI</w:t>
            </w:r>
          </w:p>
        </w:tc>
      </w:tr>
      <w:tr w:rsidR="00A6185E" w:rsidRPr="0071074A" w14:paraId="48D8779B" w14:textId="77777777" w:rsidTr="0370C70B">
        <w:trPr>
          <w:trHeight w:val="300"/>
        </w:trPr>
        <w:tc>
          <w:tcPr>
            <w:tcW w:w="2977" w:type="dxa"/>
            <w:shd w:val="clear" w:color="auto" w:fill="F2F2F2" w:themeFill="background1" w:themeFillShade="F2"/>
            <w:tcMar>
              <w:left w:w="105" w:type="dxa"/>
              <w:right w:w="105" w:type="dxa"/>
            </w:tcMar>
          </w:tcPr>
          <w:p w14:paraId="3A033A90" w14:textId="133D2344" w:rsidR="000F6BD8" w:rsidRPr="0071074A" w:rsidRDefault="00A6185E" w:rsidP="0370C70B">
            <w:pPr>
              <w:pStyle w:val="ListParagraph"/>
              <w:numPr>
                <w:ilvl w:val="0"/>
                <w:numId w:val="9"/>
              </w:numPr>
              <w:spacing w:before="80" w:after="80"/>
              <w:rPr>
                <w:rFonts w:eastAsiaTheme="minorEastAsia"/>
                <w:b/>
                <w:bCs/>
                <w:color w:val="000000" w:themeColor="text1"/>
                <w:lang w:val="en-IE"/>
              </w:rPr>
            </w:pPr>
            <w:r w:rsidRPr="0071074A">
              <w:rPr>
                <w:rFonts w:eastAsiaTheme="minorEastAsia"/>
                <w:b/>
                <w:bCs/>
                <w:color w:val="000000" w:themeColor="text1"/>
                <w:lang w:val="en-IE"/>
              </w:rPr>
              <w:t>Institution/ Organisation</w:t>
            </w:r>
          </w:p>
        </w:tc>
        <w:tc>
          <w:tcPr>
            <w:tcW w:w="7513" w:type="dxa"/>
            <w:tcMar>
              <w:left w:w="105" w:type="dxa"/>
              <w:right w:w="105" w:type="dxa"/>
            </w:tcMar>
          </w:tcPr>
          <w:p w14:paraId="28EA8AB8" w14:textId="5CB876AF" w:rsidR="00A6185E" w:rsidRPr="0071074A" w:rsidRDefault="0018344F" w:rsidP="0370C70B">
            <w:pPr>
              <w:spacing w:before="80" w:after="80" w:line="259" w:lineRule="auto"/>
              <w:rPr>
                <w:rFonts w:eastAsiaTheme="minorEastAsia"/>
                <w:color w:val="000000" w:themeColor="text1"/>
                <w:lang w:val="en-IE"/>
              </w:rPr>
            </w:pPr>
            <w:r w:rsidRPr="0071074A">
              <w:rPr>
                <w:rFonts w:eastAsiaTheme="minorEastAsia"/>
                <w:color w:val="000000" w:themeColor="text1"/>
                <w:lang w:val="en-IE"/>
              </w:rPr>
              <w:t>RCSI</w:t>
            </w:r>
          </w:p>
        </w:tc>
      </w:tr>
      <w:tr w:rsidR="00A6185E" w:rsidRPr="0071074A" w14:paraId="375FD672" w14:textId="77777777" w:rsidTr="0370C70B">
        <w:trPr>
          <w:trHeight w:val="300"/>
        </w:trPr>
        <w:tc>
          <w:tcPr>
            <w:tcW w:w="2977" w:type="dxa"/>
            <w:shd w:val="clear" w:color="auto" w:fill="F2F2F2" w:themeFill="background1" w:themeFillShade="F2"/>
            <w:tcMar>
              <w:left w:w="105" w:type="dxa"/>
              <w:right w:w="105" w:type="dxa"/>
            </w:tcMar>
          </w:tcPr>
          <w:p w14:paraId="566616EB" w14:textId="158BD7EF" w:rsidR="00A6185E" w:rsidRPr="0071074A" w:rsidRDefault="00A6185E" w:rsidP="0370C70B">
            <w:pPr>
              <w:pStyle w:val="ListParagraph"/>
              <w:numPr>
                <w:ilvl w:val="0"/>
                <w:numId w:val="9"/>
              </w:numPr>
              <w:rPr>
                <w:rFonts w:eastAsiaTheme="minorEastAsia"/>
                <w:b/>
                <w:bCs/>
              </w:rPr>
            </w:pPr>
            <w:r w:rsidRPr="0071074A">
              <w:rPr>
                <w:rFonts w:eastAsiaTheme="minorEastAsia"/>
                <w:b/>
                <w:bCs/>
              </w:rPr>
              <w:t>Who leads/ led the project?</w:t>
            </w:r>
          </w:p>
        </w:tc>
        <w:tc>
          <w:tcPr>
            <w:tcW w:w="7513" w:type="dxa"/>
            <w:tcMar>
              <w:left w:w="105" w:type="dxa"/>
              <w:right w:w="105" w:type="dxa"/>
            </w:tcMar>
          </w:tcPr>
          <w:p w14:paraId="3CDAF7C3" w14:textId="0734DA39" w:rsidR="00A6185E" w:rsidRPr="0071074A" w:rsidRDefault="0018344F" w:rsidP="0370C70B">
            <w:pPr>
              <w:spacing w:before="80" w:after="80"/>
              <w:rPr>
                <w:rFonts w:eastAsiaTheme="minorEastAsia"/>
                <w:i/>
                <w:iCs/>
                <w:color w:val="3B3838" w:themeColor="background2" w:themeShade="40"/>
                <w:lang w:val="en-IE"/>
              </w:rPr>
            </w:pPr>
            <w:r w:rsidRPr="0071074A">
              <w:rPr>
                <w:rFonts w:eastAsiaTheme="minorEastAsia"/>
                <w:i/>
                <w:iCs/>
                <w:color w:val="3B3838" w:themeColor="background2" w:themeShade="40"/>
                <w:lang w:val="en-IE"/>
              </w:rPr>
              <w:t>Collette Power, Estate &amp; Support Services Department</w:t>
            </w:r>
            <w:r w:rsidR="00A6185E" w:rsidRPr="0071074A">
              <w:rPr>
                <w:rFonts w:eastAsiaTheme="minorEastAsia"/>
                <w:i/>
                <w:iCs/>
                <w:color w:val="3B3838" w:themeColor="background2" w:themeShade="40"/>
                <w:lang w:val="en-IE"/>
              </w:rPr>
              <w:t>.</w:t>
            </w:r>
          </w:p>
        </w:tc>
      </w:tr>
      <w:tr w:rsidR="00A6185E" w:rsidRPr="0071074A" w14:paraId="69A68F13" w14:textId="77777777" w:rsidTr="0370C70B">
        <w:trPr>
          <w:trHeight w:val="300"/>
        </w:trPr>
        <w:tc>
          <w:tcPr>
            <w:tcW w:w="2977" w:type="dxa"/>
            <w:shd w:val="clear" w:color="auto" w:fill="F2F2F2" w:themeFill="background1" w:themeFillShade="F2"/>
            <w:tcMar>
              <w:left w:w="105" w:type="dxa"/>
              <w:right w:w="105" w:type="dxa"/>
            </w:tcMar>
          </w:tcPr>
          <w:p w14:paraId="72B2AEC0" w14:textId="0EC79E8D" w:rsidR="00A6185E" w:rsidRPr="0071074A" w:rsidRDefault="00A6185E" w:rsidP="0370C70B">
            <w:pPr>
              <w:pStyle w:val="ListParagraph"/>
              <w:numPr>
                <w:ilvl w:val="0"/>
                <w:numId w:val="9"/>
              </w:numPr>
              <w:rPr>
                <w:rFonts w:eastAsiaTheme="minorEastAsia"/>
                <w:b/>
                <w:bCs/>
              </w:rPr>
            </w:pPr>
            <w:r w:rsidRPr="0071074A">
              <w:rPr>
                <w:rFonts w:eastAsiaTheme="minorEastAsia"/>
                <w:b/>
                <w:bCs/>
              </w:rPr>
              <w:t xml:space="preserve">Date and timeframe </w:t>
            </w:r>
          </w:p>
          <w:p w14:paraId="7406D7DF" w14:textId="77777777" w:rsidR="00A6185E" w:rsidRPr="0071074A" w:rsidRDefault="00A6185E" w:rsidP="0370C70B">
            <w:pPr>
              <w:rPr>
                <w:rFonts w:eastAsiaTheme="minorEastAsia"/>
                <w:b/>
                <w:bCs/>
              </w:rPr>
            </w:pPr>
          </w:p>
        </w:tc>
        <w:tc>
          <w:tcPr>
            <w:tcW w:w="7513" w:type="dxa"/>
            <w:tcMar>
              <w:left w:w="105" w:type="dxa"/>
              <w:right w:w="105" w:type="dxa"/>
            </w:tcMar>
          </w:tcPr>
          <w:p w14:paraId="459469AB" w14:textId="459B2E24" w:rsidR="00A6185E" w:rsidRPr="0071074A" w:rsidRDefault="00926FF6" w:rsidP="0370C70B">
            <w:pPr>
              <w:spacing w:before="80" w:after="80"/>
              <w:rPr>
                <w:rFonts w:eastAsiaTheme="minorEastAsia"/>
                <w:i/>
                <w:iCs/>
                <w:color w:val="3B3838" w:themeColor="background2" w:themeShade="40"/>
                <w:lang w:val="en-IE"/>
              </w:rPr>
            </w:pPr>
            <w:r w:rsidRPr="0071074A">
              <w:rPr>
                <w:rFonts w:eastAsiaTheme="minorEastAsia"/>
                <w:i/>
                <w:iCs/>
                <w:color w:val="3B3838" w:themeColor="background2" w:themeShade="40"/>
                <w:lang w:val="en-IE"/>
              </w:rPr>
              <w:t>Official opening pendin</w:t>
            </w:r>
            <w:r w:rsidR="00C66DDF" w:rsidRPr="0071074A">
              <w:rPr>
                <w:rFonts w:eastAsiaTheme="minorEastAsia"/>
                <w:i/>
                <w:iCs/>
                <w:color w:val="3B3838" w:themeColor="background2" w:themeShade="40"/>
                <w:lang w:val="en-IE"/>
              </w:rPr>
              <w:t>g</w:t>
            </w:r>
            <w:r w:rsidRPr="0071074A">
              <w:rPr>
                <w:rFonts w:eastAsiaTheme="minorEastAsia"/>
                <w:i/>
                <w:iCs/>
                <w:color w:val="3B3838" w:themeColor="background2" w:themeShade="40"/>
                <w:lang w:val="en-IE"/>
              </w:rPr>
              <w:t>. Awaiting</w:t>
            </w:r>
            <w:r w:rsidR="00C66DDF" w:rsidRPr="0071074A">
              <w:rPr>
                <w:rFonts w:eastAsiaTheme="minorEastAsia"/>
                <w:i/>
                <w:iCs/>
                <w:color w:val="3B3838" w:themeColor="background2" w:themeShade="40"/>
                <w:lang w:val="en-IE"/>
              </w:rPr>
              <w:t xml:space="preserve"> f</w:t>
            </w:r>
            <w:r w:rsidRPr="0071074A">
              <w:rPr>
                <w:rFonts w:eastAsiaTheme="minorEastAsia"/>
                <w:i/>
                <w:iCs/>
                <w:color w:val="3B3838" w:themeColor="background2" w:themeShade="40"/>
                <w:lang w:val="en-IE"/>
              </w:rPr>
              <w:t xml:space="preserve">inal registration with Changing Places Ireland </w:t>
            </w:r>
          </w:p>
        </w:tc>
      </w:tr>
      <w:tr w:rsidR="00A6185E" w:rsidRPr="0071074A" w14:paraId="20684A6F" w14:textId="77777777" w:rsidTr="0370C70B">
        <w:trPr>
          <w:trHeight w:val="300"/>
        </w:trPr>
        <w:tc>
          <w:tcPr>
            <w:tcW w:w="2977" w:type="dxa"/>
            <w:shd w:val="clear" w:color="auto" w:fill="F2F2F2" w:themeFill="background1" w:themeFillShade="F2"/>
            <w:tcMar>
              <w:left w:w="105" w:type="dxa"/>
              <w:right w:w="105" w:type="dxa"/>
            </w:tcMar>
          </w:tcPr>
          <w:p w14:paraId="35CBB075" w14:textId="0CA0AD2E" w:rsidR="00A6185E" w:rsidRPr="0071074A" w:rsidRDefault="00A6185E" w:rsidP="00722F15">
            <w:pPr>
              <w:pStyle w:val="ListParagraph"/>
              <w:numPr>
                <w:ilvl w:val="0"/>
                <w:numId w:val="9"/>
              </w:numPr>
              <w:rPr>
                <w:rFonts w:eastAsiaTheme="minorEastAsia"/>
                <w:b/>
                <w:bCs/>
              </w:rPr>
            </w:pPr>
            <w:r w:rsidRPr="0071074A">
              <w:rPr>
                <w:rFonts w:eastAsiaTheme="minorEastAsia"/>
                <w:b/>
                <w:bCs/>
              </w:rPr>
              <w:t>Population Group</w:t>
            </w:r>
            <w:r w:rsidR="00503BD6" w:rsidRPr="0071074A">
              <w:rPr>
                <w:rFonts w:eastAsiaTheme="minorEastAsia"/>
                <w:b/>
                <w:bCs/>
              </w:rPr>
              <w:t xml:space="preserve"> (tick all that apply)</w:t>
            </w:r>
          </w:p>
        </w:tc>
        <w:tc>
          <w:tcPr>
            <w:tcW w:w="7513" w:type="dxa"/>
            <w:tcMar>
              <w:left w:w="105" w:type="dxa"/>
              <w:right w:w="105" w:type="dxa"/>
            </w:tcMar>
          </w:tcPr>
          <w:p w14:paraId="642E1B6B" w14:textId="75FF6AFB" w:rsidR="00A6185E" w:rsidRPr="0071074A" w:rsidRDefault="00503BD6" w:rsidP="00503BD6">
            <w:pPr>
              <w:pStyle w:val="ListParagraph"/>
              <w:numPr>
                <w:ilvl w:val="0"/>
                <w:numId w:val="7"/>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 xml:space="preserve">Students </w:t>
            </w:r>
            <w:sdt>
              <w:sdtPr>
                <w:id w:val="-261844009"/>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7EAD5A50" w14:textId="3E5DF19B" w:rsidR="00503BD6" w:rsidRPr="0071074A" w:rsidRDefault="00A6185E" w:rsidP="00503BD6">
            <w:pPr>
              <w:pStyle w:val="ListParagraph"/>
              <w:numPr>
                <w:ilvl w:val="0"/>
                <w:numId w:val="7"/>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 xml:space="preserve">Staff </w:t>
            </w:r>
            <w:sdt>
              <w:sdtPr>
                <w:id w:val="-1848782357"/>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27ADEDE4" w14:textId="3022296C" w:rsidR="00A6185E" w:rsidRPr="0071074A" w:rsidRDefault="00A6185E" w:rsidP="00503BD6">
            <w:pPr>
              <w:pStyle w:val="ListParagraph"/>
              <w:numPr>
                <w:ilvl w:val="0"/>
                <w:numId w:val="7"/>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Wider community</w:t>
            </w:r>
            <w:r w:rsidR="00503BD6" w:rsidRPr="0071074A">
              <w:rPr>
                <w:rFonts w:eastAsiaTheme="minorEastAsia"/>
                <w:color w:val="000000" w:themeColor="text1"/>
                <w:lang w:val="en-IE"/>
              </w:rPr>
              <w:t xml:space="preserve"> </w:t>
            </w:r>
            <w:sdt>
              <w:sdtPr>
                <w:id w:val="385693170"/>
                <w14:checkbox>
                  <w14:checked w14:val="1"/>
                  <w14:checkedState w14:val="2612" w14:font="MS Gothic"/>
                  <w14:uncheckedState w14:val="2610" w14:font="MS Gothic"/>
                </w14:checkbox>
              </w:sdtPr>
              <w:sdtEndPr/>
              <w:sdtContent>
                <w:r w:rsidR="00C66DDF" w:rsidRPr="0071074A">
                  <w:rPr>
                    <w:rFonts w:ascii="MS Gothic" w:eastAsia="MS Gothic" w:hAnsi="MS Gothic" w:hint="eastAsia"/>
                  </w:rPr>
                  <w:t>☒</w:t>
                </w:r>
              </w:sdtContent>
            </w:sdt>
          </w:p>
          <w:p w14:paraId="53E8AE01" w14:textId="6E321669" w:rsidR="00A6185E" w:rsidRPr="0071074A" w:rsidRDefault="00A6185E" w:rsidP="00503BD6">
            <w:pPr>
              <w:pStyle w:val="ListParagraph"/>
              <w:numPr>
                <w:ilvl w:val="0"/>
                <w:numId w:val="7"/>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Other</w:t>
            </w:r>
            <w:r w:rsidR="00503BD6" w:rsidRPr="0071074A">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tc>
      </w:tr>
      <w:tr w:rsidR="00A6185E" w:rsidRPr="0071074A" w14:paraId="461FEB5F" w14:textId="77777777" w:rsidTr="0370C70B">
        <w:trPr>
          <w:trHeight w:val="300"/>
        </w:trPr>
        <w:tc>
          <w:tcPr>
            <w:tcW w:w="2977" w:type="dxa"/>
            <w:shd w:val="clear" w:color="auto" w:fill="F2F2F2" w:themeFill="background1" w:themeFillShade="F2"/>
            <w:tcMar>
              <w:left w:w="105" w:type="dxa"/>
              <w:right w:w="105" w:type="dxa"/>
            </w:tcMar>
          </w:tcPr>
          <w:p w14:paraId="415AA0EE" w14:textId="67BDE06B" w:rsidR="00503BD6" w:rsidRPr="0071074A" w:rsidRDefault="00A6185E" w:rsidP="00722F15">
            <w:pPr>
              <w:pStyle w:val="ListParagraph"/>
              <w:numPr>
                <w:ilvl w:val="0"/>
                <w:numId w:val="9"/>
              </w:numPr>
              <w:rPr>
                <w:rFonts w:eastAsiaTheme="minorEastAsia"/>
                <w:b/>
                <w:bCs/>
              </w:rPr>
            </w:pPr>
            <w:r w:rsidRPr="0071074A">
              <w:rPr>
                <w:rFonts w:eastAsiaTheme="minorEastAsia"/>
                <w:b/>
                <w:bCs/>
              </w:rPr>
              <w:t>Health Topi</w:t>
            </w:r>
            <w:r w:rsidR="00830BE8" w:rsidRPr="0071074A">
              <w:rPr>
                <w:rFonts w:eastAsiaTheme="minorEastAsia"/>
                <w:b/>
                <w:bCs/>
              </w:rPr>
              <w:t xml:space="preserve">c </w:t>
            </w:r>
            <w:r w:rsidR="00503BD6" w:rsidRPr="0071074A">
              <w:rPr>
                <w:rFonts w:eastAsiaTheme="minorEastAsia"/>
                <w:b/>
                <w:bCs/>
              </w:rPr>
              <w:t>(tick all that apply)</w:t>
            </w:r>
          </w:p>
        </w:tc>
        <w:tc>
          <w:tcPr>
            <w:tcW w:w="7513" w:type="dxa"/>
            <w:tcMar>
              <w:left w:w="105" w:type="dxa"/>
              <w:right w:w="105" w:type="dxa"/>
            </w:tcMar>
          </w:tcPr>
          <w:p w14:paraId="4780F0AE" w14:textId="31011412"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Alcohol</w:t>
            </w:r>
            <w:r w:rsidR="00503BD6" w:rsidRPr="0071074A">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23ED177C" w14:textId="56113078"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Substance Misuse</w:t>
            </w:r>
            <w:r w:rsidR="00503BD6" w:rsidRPr="0071074A">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5238A287" w14:textId="58CAC309"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Healthy Eating / Food</w:t>
            </w:r>
            <w:r w:rsidR="00503BD6" w:rsidRPr="0071074A">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0698E279" w14:textId="0E8D1E4D"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Mental Health &amp; Wellbeing</w:t>
            </w:r>
            <w:r w:rsidR="00503BD6" w:rsidRPr="0071074A">
              <w:rPr>
                <w:rFonts w:eastAsiaTheme="minorEastAsia"/>
                <w:color w:val="000000" w:themeColor="text1"/>
                <w:lang w:val="en-IE"/>
              </w:rPr>
              <w:t xml:space="preserve"> </w:t>
            </w:r>
            <w:sdt>
              <w:sdtPr>
                <w:id w:val="-2026858466"/>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44236DB1" w14:textId="00360222"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Sexual Health &amp; Wellbeing</w:t>
            </w:r>
            <w:r w:rsidR="00503BD6" w:rsidRPr="0071074A">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3EF1BF5D" w14:textId="691EB220"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Tobacco/ Vape Free Campus</w:t>
            </w:r>
            <w:r w:rsidR="00503BD6" w:rsidRPr="0071074A">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r w:rsidR="00503BD6" w:rsidRPr="0071074A">
              <w:rPr>
                <w:rFonts w:eastAsiaTheme="minorEastAsia"/>
                <w:color w:val="000000" w:themeColor="text1"/>
                <w:lang w:val="en-IE"/>
              </w:rPr>
              <w:t xml:space="preserve"> </w:t>
            </w:r>
          </w:p>
          <w:p w14:paraId="0D70F7A2" w14:textId="05E7B7F2"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Physical Activity / Active Transport</w:t>
            </w:r>
            <w:r w:rsidR="00503BD6" w:rsidRPr="0071074A">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0E195069" w14:textId="6E63DDCB"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Wellbeing and the Curriculum</w:t>
            </w:r>
            <w:r w:rsidR="00503BD6" w:rsidRPr="0071074A">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sidRPr="0071074A">
                  <w:rPr>
                    <w:rFonts w:ascii="MS Gothic" w:eastAsia="MS Gothic" w:hAnsi="MS Gothic" w:hint="eastAsia"/>
                  </w:rPr>
                  <w:t>☐</w:t>
                </w:r>
              </w:sdtContent>
            </w:sdt>
          </w:p>
          <w:p w14:paraId="386EE98E" w14:textId="5DF2219B" w:rsidR="00A6185E" w:rsidRPr="0071074A" w:rsidRDefault="00A6185E" w:rsidP="00503BD6">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Health &amp; Sustainability</w:t>
            </w:r>
            <w:r w:rsidR="00503BD6" w:rsidRPr="0071074A">
              <w:t xml:space="preserve"> </w:t>
            </w:r>
            <w:sdt>
              <w:sdtPr>
                <w:id w:val="-851577847"/>
                <w14:checkbox>
                  <w14:checked w14:val="1"/>
                  <w14:checkedState w14:val="2612" w14:font="MS Gothic"/>
                  <w14:uncheckedState w14:val="2610" w14:font="MS Gothic"/>
                </w14:checkbox>
              </w:sdtPr>
              <w:sdtEndPr/>
              <w:sdtContent>
                <w:r w:rsidR="00C66DDF" w:rsidRPr="0071074A">
                  <w:rPr>
                    <w:rFonts w:ascii="MS Gothic" w:eastAsia="MS Gothic" w:hAnsi="MS Gothic" w:hint="eastAsia"/>
                  </w:rPr>
                  <w:t>☒</w:t>
                </w:r>
              </w:sdtContent>
            </w:sdt>
          </w:p>
          <w:p w14:paraId="505E20DF" w14:textId="7B7E3859" w:rsidR="00A6185E" w:rsidRPr="0071074A" w:rsidRDefault="00A6185E" w:rsidP="00722F15">
            <w:pPr>
              <w:pStyle w:val="ListParagraph"/>
              <w:numPr>
                <w:ilvl w:val="0"/>
                <w:numId w:val="8"/>
              </w:numPr>
              <w:spacing w:line="360" w:lineRule="auto"/>
              <w:ind w:left="714" w:hanging="357"/>
              <w:rPr>
                <w:rFonts w:eastAsiaTheme="minorEastAsia"/>
                <w:color w:val="000000" w:themeColor="text1"/>
                <w:lang w:val="en-IE"/>
              </w:rPr>
            </w:pPr>
            <w:r w:rsidRPr="0071074A">
              <w:rPr>
                <w:rFonts w:eastAsiaTheme="minorEastAsia"/>
                <w:color w:val="000000" w:themeColor="text1"/>
                <w:lang w:val="en-IE"/>
              </w:rPr>
              <w:t>Other</w:t>
            </w:r>
            <w:r w:rsidR="00503BD6" w:rsidRPr="0071074A">
              <w:rPr>
                <w:rFonts w:eastAsiaTheme="minorEastAsia"/>
                <w:color w:val="000000" w:themeColor="text1"/>
                <w:lang w:val="en-IE"/>
              </w:rPr>
              <w:t xml:space="preserve"> </w:t>
            </w:r>
            <w:sdt>
              <w:sdtPr>
                <w:id w:val="726263508"/>
                <w14:checkbox>
                  <w14:checked w14:val="1"/>
                  <w14:checkedState w14:val="2612" w14:font="MS Gothic"/>
                  <w14:uncheckedState w14:val="2610" w14:font="MS Gothic"/>
                </w14:checkbox>
              </w:sdtPr>
              <w:sdtEndPr/>
              <w:sdtContent>
                <w:r w:rsidR="00C66DDF" w:rsidRPr="0071074A">
                  <w:rPr>
                    <w:rFonts w:ascii="MS Gothic" w:eastAsia="MS Gothic" w:hAnsi="MS Gothic" w:hint="eastAsia"/>
                  </w:rPr>
                  <w:t>☒</w:t>
                </w:r>
              </w:sdtContent>
            </w:sdt>
          </w:p>
        </w:tc>
      </w:tr>
    </w:tbl>
    <w:p w14:paraId="7269B026" w14:textId="77777777" w:rsidR="00FD61F7" w:rsidRPr="0071074A" w:rsidRDefault="00FD61F7" w:rsidP="00801E77">
      <w:pPr>
        <w:pStyle w:val="ListParagraph"/>
        <w:jc w:val="both"/>
        <w:rPr>
          <w:rFonts w:ascii="Calibri" w:eastAsia="Calibri" w:hAnsi="Calibri" w:cs="Calibri"/>
          <w:lang w:val="en-GB"/>
        </w:rPr>
      </w:pPr>
    </w:p>
    <w:p w14:paraId="5F12E7CE" w14:textId="77777777" w:rsidR="00FD61F7" w:rsidRPr="0071074A" w:rsidRDefault="00FD61F7" w:rsidP="00801E77">
      <w:pPr>
        <w:pStyle w:val="ListParagraph"/>
        <w:jc w:val="both"/>
        <w:rPr>
          <w:rFonts w:ascii="Calibri" w:eastAsia="Calibri" w:hAnsi="Calibri" w:cs="Calibri"/>
          <w:lang w:val="en-GB"/>
        </w:rPr>
      </w:pPr>
    </w:p>
    <w:p w14:paraId="6D86B551" w14:textId="77777777" w:rsidR="00FD61F7" w:rsidRPr="0071074A" w:rsidRDefault="00FD61F7" w:rsidP="00801E77">
      <w:pPr>
        <w:pStyle w:val="ListParagraph"/>
        <w:jc w:val="both"/>
        <w:rPr>
          <w:rFonts w:ascii="Calibri" w:eastAsia="Calibri" w:hAnsi="Calibri" w:cs="Calibri"/>
          <w:lang w:val="en-GB"/>
        </w:rPr>
      </w:pPr>
    </w:p>
    <w:p w14:paraId="2782786A" w14:textId="77777777" w:rsidR="00FD61F7" w:rsidRPr="0071074A" w:rsidRDefault="00FD61F7" w:rsidP="00801E77">
      <w:pPr>
        <w:pStyle w:val="ListParagraph"/>
        <w:jc w:val="both"/>
        <w:rPr>
          <w:rFonts w:ascii="Calibri" w:eastAsia="Calibri" w:hAnsi="Calibri" w:cs="Calibri"/>
          <w:lang w:val="en-GB"/>
        </w:rPr>
      </w:pPr>
    </w:p>
    <w:p w14:paraId="57C8A3F1" w14:textId="037F989A" w:rsidR="5731DB16" w:rsidRPr="0071074A" w:rsidRDefault="5731DB16" w:rsidP="5731DB16">
      <w:pPr>
        <w:pStyle w:val="ListParagraph"/>
        <w:jc w:val="both"/>
        <w:rPr>
          <w:rFonts w:ascii="Calibri" w:eastAsia="Calibri" w:hAnsi="Calibri" w:cs="Calibri"/>
          <w:lang w:val="en-GB"/>
        </w:rPr>
      </w:pPr>
    </w:p>
    <w:p w14:paraId="5476DC82" w14:textId="55597B4A" w:rsidR="5731DB16" w:rsidRPr="0071074A" w:rsidRDefault="5731DB16" w:rsidP="5731DB16">
      <w:pPr>
        <w:pStyle w:val="ListParagraph"/>
        <w:jc w:val="both"/>
        <w:rPr>
          <w:rFonts w:ascii="Calibri" w:eastAsia="Calibri" w:hAnsi="Calibri" w:cs="Calibri"/>
          <w:lang w:val="en-GB"/>
        </w:rPr>
      </w:pPr>
    </w:p>
    <w:p w14:paraId="54BD07B1" w14:textId="70A2A99D" w:rsidR="5731DB16" w:rsidRPr="0071074A" w:rsidRDefault="5731DB16" w:rsidP="5731DB16">
      <w:pPr>
        <w:pStyle w:val="ListParagraph"/>
        <w:jc w:val="both"/>
        <w:rPr>
          <w:rFonts w:ascii="Calibri" w:eastAsia="Calibri" w:hAnsi="Calibri" w:cs="Calibri"/>
          <w:lang w:val="en-GB"/>
        </w:rPr>
      </w:pPr>
    </w:p>
    <w:p w14:paraId="1EEB79B4" w14:textId="40C2C5AD" w:rsidR="5731DB16" w:rsidRPr="0071074A" w:rsidRDefault="5731DB16" w:rsidP="5731DB16">
      <w:pPr>
        <w:pStyle w:val="ListParagraph"/>
        <w:jc w:val="both"/>
        <w:rPr>
          <w:rFonts w:ascii="Calibri" w:eastAsia="Calibri" w:hAnsi="Calibri" w:cs="Calibri"/>
          <w:lang w:val="en-GB"/>
        </w:rPr>
      </w:pPr>
    </w:p>
    <w:p w14:paraId="24462868" w14:textId="79A81F3C" w:rsidR="5731DB16" w:rsidRPr="0071074A" w:rsidRDefault="5731DB16" w:rsidP="5731DB16">
      <w:pPr>
        <w:pStyle w:val="ListParagraph"/>
        <w:jc w:val="both"/>
        <w:rPr>
          <w:rFonts w:ascii="Calibri" w:eastAsia="Calibri" w:hAnsi="Calibri" w:cs="Calibri"/>
          <w:lang w:val="en-GB"/>
        </w:rPr>
      </w:pPr>
    </w:p>
    <w:p w14:paraId="055B5679" w14:textId="26FA2B57" w:rsidR="5731DB16" w:rsidRPr="0071074A" w:rsidRDefault="5731DB16" w:rsidP="5731DB16">
      <w:pPr>
        <w:pStyle w:val="ListParagraph"/>
        <w:jc w:val="both"/>
        <w:rPr>
          <w:rFonts w:ascii="Calibri" w:eastAsia="Calibri" w:hAnsi="Calibri" w:cs="Calibri"/>
          <w:lang w:val="en-GB"/>
        </w:rPr>
      </w:pPr>
    </w:p>
    <w:p w14:paraId="4BC5EA1E" w14:textId="77777777" w:rsidR="00A6185E" w:rsidRPr="0071074A" w:rsidRDefault="00A6185E" w:rsidP="00FD61F7">
      <w:pPr>
        <w:jc w:val="both"/>
        <w:rPr>
          <w:rFonts w:ascii="Calibri" w:eastAsia="Calibri" w:hAnsi="Calibri" w:cs="Calibri"/>
          <w:lang w:val="en-GB"/>
        </w:rPr>
      </w:pPr>
    </w:p>
    <w:p w14:paraId="528C3E63" w14:textId="2D9ACDB5" w:rsidR="00FD61F7" w:rsidRPr="0071074A"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rsidRPr="0071074A" w14:paraId="464770CE" w14:textId="77777777" w:rsidTr="0370C70B">
        <w:trPr>
          <w:trHeight w:val="294"/>
        </w:trPr>
        <w:tc>
          <w:tcPr>
            <w:tcW w:w="10678" w:type="dxa"/>
            <w:gridSpan w:val="5"/>
            <w:shd w:val="clear" w:color="auto" w:fill="F2F2F2" w:themeFill="background1" w:themeFillShade="F2"/>
          </w:tcPr>
          <w:p w14:paraId="3CC63516" w14:textId="5190A345" w:rsidR="00830BE8" w:rsidRPr="0071074A" w:rsidRDefault="00A6185E" w:rsidP="00A6185E">
            <w:pPr>
              <w:pStyle w:val="ListParagraph"/>
              <w:numPr>
                <w:ilvl w:val="0"/>
                <w:numId w:val="9"/>
              </w:numPr>
              <w:rPr>
                <w:b/>
                <w:bCs/>
              </w:rPr>
            </w:pPr>
            <w:r w:rsidRPr="0071074A">
              <w:rPr>
                <w:b/>
                <w:bCs/>
              </w:rPr>
              <w:t>Project Alignment</w:t>
            </w:r>
          </w:p>
          <w:p w14:paraId="520233B4" w14:textId="77777777" w:rsidR="00830BE8" w:rsidRPr="0071074A" w:rsidRDefault="00830BE8" w:rsidP="00830BE8">
            <w:pPr>
              <w:ind w:left="360"/>
              <w:rPr>
                <w:b/>
                <w:bCs/>
              </w:rPr>
            </w:pPr>
          </w:p>
          <w:p w14:paraId="66CCEF28" w14:textId="71A60129" w:rsidR="00503BD6" w:rsidRPr="0071074A" w:rsidRDefault="00A6185E" w:rsidP="00A6185E">
            <w:pPr>
              <w:rPr>
                <w:b/>
                <w:bCs/>
              </w:rPr>
            </w:pPr>
            <w:r w:rsidRPr="0071074A">
              <w:rPr>
                <w:b/>
                <w:bCs/>
              </w:rPr>
              <w:t xml:space="preserve">Use the categories below to highlight the alignment of the project with national policy. Please tick all that </w:t>
            </w:r>
            <w:r w:rsidR="007B540F" w:rsidRPr="0071074A">
              <w:rPr>
                <w:b/>
                <w:bCs/>
              </w:rPr>
              <w:t>apply</w:t>
            </w:r>
            <w:r w:rsidR="00534E0D" w:rsidRPr="0071074A">
              <w:rPr>
                <w:b/>
                <w:bCs/>
              </w:rPr>
              <w:t>.</w:t>
            </w:r>
          </w:p>
          <w:p w14:paraId="57933AE6" w14:textId="65249EBC" w:rsidR="00976962" w:rsidRPr="0071074A" w:rsidRDefault="00976962" w:rsidP="00A6185E">
            <w:pPr>
              <w:rPr>
                <w:b/>
                <w:bCs/>
              </w:rPr>
            </w:pPr>
          </w:p>
        </w:tc>
      </w:tr>
      <w:tr w:rsidR="00A6185E" w:rsidRPr="0071074A" w14:paraId="50D01168" w14:textId="77777777" w:rsidTr="0370C70B">
        <w:trPr>
          <w:trHeight w:val="294"/>
        </w:trPr>
        <w:tc>
          <w:tcPr>
            <w:tcW w:w="1838" w:type="dxa"/>
            <w:shd w:val="clear" w:color="auto" w:fill="70AD47" w:themeFill="accent6"/>
          </w:tcPr>
          <w:p w14:paraId="476471F3" w14:textId="77777777" w:rsidR="00A6185E" w:rsidRPr="0071074A" w:rsidRDefault="00A6185E" w:rsidP="0370C70B">
            <w:pPr>
              <w:rPr>
                <w:rFonts w:eastAsiaTheme="minorEastAsia"/>
                <w:b/>
                <w:bCs/>
                <w:color w:val="FFFFFF" w:themeColor="background1"/>
                <w:sz w:val="24"/>
                <w:szCs w:val="24"/>
              </w:rPr>
            </w:pPr>
            <w:r w:rsidRPr="0071074A">
              <w:rPr>
                <w:rFonts w:eastAsiaTheme="minorEastAsia"/>
                <w:b/>
                <w:bCs/>
                <w:sz w:val="24"/>
                <w:szCs w:val="24"/>
              </w:rPr>
              <w:t xml:space="preserve">Limerick Framework for Action - 10 Actions </w:t>
            </w:r>
          </w:p>
          <w:p w14:paraId="73746053" w14:textId="77777777" w:rsidR="00A6185E" w:rsidRPr="0071074A" w:rsidRDefault="00A6185E" w:rsidP="0370C70B">
            <w:pPr>
              <w:rPr>
                <w:rFonts w:eastAsiaTheme="minorEastAsia"/>
                <w:b/>
                <w:bCs/>
                <w:color w:val="FFFFFF" w:themeColor="background1"/>
                <w:sz w:val="20"/>
                <w:szCs w:val="20"/>
              </w:rPr>
            </w:pPr>
            <w:hyperlink r:id="rId12">
              <w:r w:rsidRPr="0071074A">
                <w:rPr>
                  <w:rStyle w:val="Hyperlink"/>
                  <w:rFonts w:eastAsiaTheme="minorEastAsia"/>
                  <w:b/>
                  <w:bCs/>
                  <w:color w:val="auto"/>
                  <w:sz w:val="20"/>
                  <w:szCs w:val="20"/>
                </w:rPr>
                <w:t>LFfA pg. 12</w:t>
              </w:r>
            </w:hyperlink>
          </w:p>
        </w:tc>
        <w:tc>
          <w:tcPr>
            <w:tcW w:w="2234" w:type="dxa"/>
            <w:shd w:val="clear" w:color="auto" w:fill="70AD47" w:themeFill="accent6"/>
          </w:tcPr>
          <w:p w14:paraId="52A04351" w14:textId="77777777" w:rsidR="00A6185E" w:rsidRPr="0071074A" w:rsidRDefault="00A6185E" w:rsidP="00A6185E">
            <w:pPr>
              <w:rPr>
                <w:rFonts w:eastAsiaTheme="minorEastAsia"/>
                <w:b/>
                <w:bCs/>
                <w:color w:val="FFFFFF" w:themeColor="background1"/>
                <w:sz w:val="24"/>
                <w:szCs w:val="24"/>
              </w:rPr>
            </w:pPr>
            <w:r w:rsidRPr="0071074A">
              <w:rPr>
                <w:rFonts w:eastAsiaTheme="minorEastAsia"/>
                <w:b/>
                <w:bCs/>
                <w:color w:val="FFFFFF" w:themeColor="background1"/>
                <w:sz w:val="24"/>
                <w:szCs w:val="24"/>
              </w:rPr>
              <w:t>Healthy Campus Process</w:t>
            </w:r>
          </w:p>
          <w:p w14:paraId="69435B4E" w14:textId="77777777" w:rsidR="00A6185E" w:rsidRPr="0071074A" w:rsidRDefault="00A6185E" w:rsidP="00A6185E">
            <w:pPr>
              <w:rPr>
                <w:rFonts w:eastAsiaTheme="minorEastAsia"/>
                <w:b/>
                <w:bCs/>
                <w:color w:val="FFFFFF" w:themeColor="background1"/>
                <w:sz w:val="20"/>
                <w:szCs w:val="20"/>
              </w:rPr>
            </w:pPr>
            <w:hyperlink r:id="rId13" w:history="1">
              <w:r w:rsidRPr="0071074A">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71074A" w:rsidRDefault="00A6185E" w:rsidP="0370C70B">
            <w:pPr>
              <w:spacing w:line="259" w:lineRule="auto"/>
              <w:rPr>
                <w:rFonts w:eastAsiaTheme="minorEastAsia"/>
                <w:b/>
                <w:bCs/>
                <w:color w:val="FFFFFF" w:themeColor="background1"/>
                <w:sz w:val="24"/>
                <w:szCs w:val="24"/>
              </w:rPr>
            </w:pPr>
            <w:r w:rsidRPr="0071074A">
              <w:rPr>
                <w:rFonts w:eastAsiaTheme="minorEastAsia"/>
                <w:b/>
                <w:bCs/>
                <w:sz w:val="24"/>
                <w:szCs w:val="24"/>
              </w:rPr>
              <w:t xml:space="preserve">Whole Campus Approach </w:t>
            </w:r>
          </w:p>
          <w:p w14:paraId="617ECBFC" w14:textId="77777777" w:rsidR="00A6185E" w:rsidRPr="0071074A" w:rsidRDefault="00A6185E" w:rsidP="0370C70B">
            <w:pPr>
              <w:spacing w:line="259" w:lineRule="auto"/>
              <w:rPr>
                <w:rFonts w:eastAsiaTheme="minorEastAsia"/>
                <w:b/>
                <w:bCs/>
                <w:color w:val="FFFFFF" w:themeColor="background1"/>
                <w:sz w:val="20"/>
                <w:szCs w:val="20"/>
              </w:rPr>
            </w:pPr>
            <w:hyperlink r:id="rId14">
              <w:r w:rsidRPr="0071074A">
                <w:rPr>
                  <w:rStyle w:val="Hyperlink"/>
                  <w:rFonts w:eastAsiaTheme="minorEastAsia"/>
                  <w:b/>
                  <w:bCs/>
                  <w:color w:val="auto"/>
                  <w:sz w:val="20"/>
                  <w:szCs w:val="20"/>
                </w:rPr>
                <w:t>HC Tool pg. 8</w:t>
              </w:r>
            </w:hyperlink>
          </w:p>
        </w:tc>
        <w:tc>
          <w:tcPr>
            <w:tcW w:w="1973" w:type="dxa"/>
            <w:shd w:val="clear" w:color="auto" w:fill="70AD47" w:themeFill="accent6"/>
          </w:tcPr>
          <w:p w14:paraId="586473FD" w14:textId="77777777" w:rsidR="00A6185E" w:rsidRPr="0071074A" w:rsidRDefault="00A6185E" w:rsidP="00A6185E">
            <w:pPr>
              <w:rPr>
                <w:rFonts w:eastAsiaTheme="minorEastAsia"/>
                <w:b/>
                <w:bCs/>
                <w:color w:val="FFFFFF" w:themeColor="background1"/>
                <w:sz w:val="24"/>
                <w:szCs w:val="24"/>
              </w:rPr>
            </w:pPr>
            <w:r w:rsidRPr="0071074A">
              <w:rPr>
                <w:rFonts w:eastAsiaTheme="minorEastAsia"/>
                <w:b/>
                <w:bCs/>
                <w:color w:val="FFFFFF" w:themeColor="background1"/>
                <w:sz w:val="24"/>
                <w:szCs w:val="24"/>
              </w:rPr>
              <w:t>Principles of a Healthy Campus</w:t>
            </w:r>
          </w:p>
          <w:p w14:paraId="20C28AE7" w14:textId="77777777" w:rsidR="00A6185E" w:rsidRPr="0071074A" w:rsidRDefault="00A6185E" w:rsidP="00A6185E">
            <w:pPr>
              <w:rPr>
                <w:rFonts w:eastAsiaTheme="minorEastAsia"/>
                <w:b/>
                <w:bCs/>
                <w:color w:val="FFFFFF" w:themeColor="background1"/>
                <w:sz w:val="20"/>
                <w:szCs w:val="20"/>
              </w:rPr>
            </w:pPr>
            <w:hyperlink r:id="rId15" w:history="1">
              <w:r w:rsidRPr="0071074A">
                <w:rPr>
                  <w:rStyle w:val="Hyperlink"/>
                  <w:rFonts w:eastAsiaTheme="minorEastAsia"/>
                  <w:b/>
                  <w:bCs/>
                  <w:sz w:val="20"/>
                  <w:szCs w:val="20"/>
                </w:rPr>
                <w:t>HC Tool</w:t>
              </w:r>
            </w:hyperlink>
            <w:r w:rsidRPr="0071074A">
              <w:rPr>
                <w:rFonts w:eastAsiaTheme="minorEastAsia"/>
                <w:b/>
                <w:bCs/>
                <w:color w:val="FFFFFF" w:themeColor="background1"/>
                <w:sz w:val="20"/>
                <w:szCs w:val="20"/>
              </w:rPr>
              <w:t xml:space="preserve"> + </w:t>
            </w:r>
            <w:hyperlink r:id="rId16" w:history="1">
              <w:r w:rsidRPr="0071074A">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71074A" w:rsidRDefault="00A6185E" w:rsidP="00A6185E">
            <w:pPr>
              <w:spacing w:line="259" w:lineRule="auto"/>
              <w:rPr>
                <w:rFonts w:eastAsiaTheme="minorEastAsia"/>
                <w:b/>
                <w:bCs/>
                <w:color w:val="FFFFFF" w:themeColor="background1"/>
                <w:sz w:val="24"/>
                <w:szCs w:val="24"/>
              </w:rPr>
            </w:pPr>
            <w:r w:rsidRPr="0071074A">
              <w:rPr>
                <w:rFonts w:eastAsiaTheme="minorEastAsia"/>
                <w:b/>
                <w:bCs/>
                <w:color w:val="FFFFFF" w:themeColor="background1"/>
                <w:sz w:val="24"/>
                <w:szCs w:val="24"/>
              </w:rPr>
              <w:t xml:space="preserve">National Student Mental Health and Suicide Prevention Framework </w:t>
            </w:r>
            <w:hyperlink r:id="rId17" w:history="1">
              <w:r w:rsidRPr="0071074A">
                <w:rPr>
                  <w:rStyle w:val="Hyperlink"/>
                  <w:rFonts w:eastAsiaTheme="minorEastAsia"/>
                  <w:b/>
                  <w:bCs/>
                  <w:sz w:val="20"/>
                  <w:szCs w:val="20"/>
                </w:rPr>
                <w:t>NSMHSPF</w:t>
              </w:r>
            </w:hyperlink>
          </w:p>
        </w:tc>
      </w:tr>
      <w:tr w:rsidR="00A6185E" w:rsidRPr="0071074A" w14:paraId="3D0CE424" w14:textId="77777777" w:rsidTr="0370C70B">
        <w:trPr>
          <w:trHeight w:val="294"/>
        </w:trPr>
        <w:tc>
          <w:tcPr>
            <w:tcW w:w="1838" w:type="dxa"/>
          </w:tcPr>
          <w:p w14:paraId="593891C1" w14:textId="77777777" w:rsidR="00A6185E" w:rsidRPr="0071074A" w:rsidRDefault="00A6185E" w:rsidP="00A6185E">
            <w:pPr>
              <w:rPr>
                <w:rFonts w:eastAsiaTheme="minorEastAsia"/>
              </w:rPr>
            </w:pPr>
            <w:r w:rsidRPr="0071074A">
              <w:rPr>
                <w:rFonts w:eastAsiaTheme="minorEastAsia"/>
              </w:rPr>
              <w:t xml:space="preserve">1.Ethos </w:t>
            </w:r>
            <w:r w:rsidRPr="0071074A">
              <w:t xml:space="preserve"> </w:t>
            </w:r>
            <w:sdt>
              <w:sdtPr>
                <w:id w:val="-1452931910"/>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6A3C842F" w14:textId="77777777" w:rsidR="00A6185E" w:rsidRPr="0071074A" w:rsidRDefault="00A6185E" w:rsidP="00A6185E">
            <w:pPr>
              <w:rPr>
                <w:rFonts w:eastAsiaTheme="minorEastAsia"/>
              </w:rPr>
            </w:pPr>
          </w:p>
        </w:tc>
        <w:tc>
          <w:tcPr>
            <w:tcW w:w="2234" w:type="dxa"/>
          </w:tcPr>
          <w:p w14:paraId="2EA7EE92" w14:textId="2CFACA47" w:rsidR="00A6185E" w:rsidRPr="0071074A" w:rsidRDefault="00A6185E" w:rsidP="00A6185E">
            <w:r w:rsidRPr="0071074A">
              <w:rPr>
                <w:rFonts w:eastAsiaTheme="minorEastAsia"/>
              </w:rPr>
              <w:t>Commit</w:t>
            </w:r>
            <w:r w:rsidRPr="0071074A">
              <w:t xml:space="preserve"> </w:t>
            </w:r>
            <w:sdt>
              <w:sdtPr>
                <w:id w:val="266208592"/>
                <w14:checkbox>
                  <w14:checked w14:val="1"/>
                  <w14:checkedState w14:val="2612" w14:font="MS Gothic"/>
                  <w14:uncheckedState w14:val="2610" w14:font="MS Gothic"/>
                </w14:checkbox>
              </w:sdtPr>
              <w:sdtEndPr/>
              <w:sdtContent>
                <w:r w:rsidR="00026040" w:rsidRPr="0071074A">
                  <w:rPr>
                    <w:rFonts w:ascii="MS Gothic" w:eastAsia="MS Gothic" w:hAnsi="MS Gothic" w:hint="eastAsia"/>
                  </w:rPr>
                  <w:t>☒</w:t>
                </w:r>
              </w:sdtContent>
            </w:sdt>
          </w:p>
          <w:p w14:paraId="7B78154D" w14:textId="77777777" w:rsidR="00A6185E" w:rsidRPr="0071074A" w:rsidRDefault="00A6185E" w:rsidP="00A6185E">
            <w:pPr>
              <w:rPr>
                <w:rFonts w:eastAsiaTheme="minorEastAsia"/>
              </w:rPr>
            </w:pPr>
          </w:p>
        </w:tc>
        <w:tc>
          <w:tcPr>
            <w:tcW w:w="2172" w:type="dxa"/>
          </w:tcPr>
          <w:p w14:paraId="026CFDFF" w14:textId="77777777" w:rsidR="007D0886" w:rsidRPr="0071074A" w:rsidRDefault="00A6185E" w:rsidP="00A6185E">
            <w:pPr>
              <w:rPr>
                <w:rFonts w:eastAsiaTheme="minorEastAsia"/>
              </w:rPr>
            </w:pPr>
            <w:r w:rsidRPr="0071074A">
              <w:rPr>
                <w:rFonts w:eastAsiaTheme="minorEastAsia"/>
              </w:rPr>
              <w:t xml:space="preserve">Leadership, Strategy &amp; Governance </w:t>
            </w:r>
          </w:p>
          <w:p w14:paraId="48D62900" w14:textId="7F8DEA93" w:rsidR="00A6185E" w:rsidRPr="0071074A" w:rsidRDefault="00A6185E" w:rsidP="00A6185E">
            <w:r w:rsidRPr="0071074A">
              <w:rPr>
                <w:rFonts w:eastAsiaTheme="minorEastAsia"/>
              </w:rPr>
              <w:t xml:space="preserve">(Pillar 1) </w:t>
            </w:r>
            <w:sdt>
              <w:sdtPr>
                <w:id w:val="237067681"/>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5AEFD2EB" w14:textId="77777777" w:rsidR="00A6185E" w:rsidRPr="0071074A" w:rsidRDefault="00A6185E" w:rsidP="00A6185E">
            <w:pPr>
              <w:rPr>
                <w:rFonts w:eastAsiaTheme="minorEastAsia"/>
              </w:rPr>
            </w:pPr>
          </w:p>
        </w:tc>
        <w:tc>
          <w:tcPr>
            <w:tcW w:w="1973" w:type="dxa"/>
          </w:tcPr>
          <w:p w14:paraId="3D7B6D1E" w14:textId="56619D15" w:rsidR="00A6185E" w:rsidRPr="0071074A" w:rsidRDefault="00A6185E" w:rsidP="00A6185E">
            <w:pPr>
              <w:rPr>
                <w:rFonts w:eastAsiaTheme="minorEastAsia"/>
              </w:rPr>
            </w:pPr>
            <w:r w:rsidRPr="0071074A">
              <w:rPr>
                <w:rFonts w:eastAsiaTheme="minorEastAsia"/>
              </w:rPr>
              <w:t xml:space="preserve">Participation </w:t>
            </w:r>
            <w:sdt>
              <w:sdtPr>
                <w:id w:val="-168481849"/>
                <w14:checkbox>
                  <w14:checked w14:val="1"/>
                  <w14:checkedState w14:val="2612" w14:font="MS Gothic"/>
                  <w14:uncheckedState w14:val="2610" w14:font="MS Gothic"/>
                </w14:checkbox>
              </w:sdtPr>
              <w:sdtEndPr/>
              <w:sdtContent>
                <w:r w:rsidR="00026040" w:rsidRPr="0071074A">
                  <w:rPr>
                    <w:rFonts w:ascii="MS Gothic" w:eastAsia="MS Gothic" w:hAnsi="MS Gothic" w:hint="eastAsia"/>
                  </w:rPr>
                  <w:t>☒</w:t>
                </w:r>
              </w:sdtContent>
            </w:sdt>
          </w:p>
        </w:tc>
        <w:tc>
          <w:tcPr>
            <w:tcW w:w="2461" w:type="dxa"/>
          </w:tcPr>
          <w:p w14:paraId="4315F961" w14:textId="77777777" w:rsidR="00A6185E" w:rsidRPr="0071074A" w:rsidRDefault="00A6185E" w:rsidP="00A6185E">
            <w:pPr>
              <w:rPr>
                <w:rFonts w:eastAsiaTheme="minorEastAsia"/>
              </w:rPr>
            </w:pPr>
            <w:r w:rsidRPr="0071074A">
              <w:rPr>
                <w:rFonts w:eastAsiaTheme="minorEastAsia"/>
              </w:rPr>
              <w:t xml:space="preserve">Lead </w:t>
            </w:r>
            <w:r w:rsidRPr="0071074A">
              <w:t xml:space="preserve"> </w:t>
            </w:r>
            <w:sdt>
              <w:sdtPr>
                <w:id w:val="-699319740"/>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76C74EFB" w14:textId="77777777" w:rsidTr="0370C70B">
        <w:trPr>
          <w:trHeight w:val="294"/>
        </w:trPr>
        <w:tc>
          <w:tcPr>
            <w:tcW w:w="1838" w:type="dxa"/>
          </w:tcPr>
          <w:p w14:paraId="3299141E" w14:textId="77777777" w:rsidR="00A6185E" w:rsidRPr="0071074A" w:rsidRDefault="00A6185E" w:rsidP="00A6185E">
            <w:pPr>
              <w:rPr>
                <w:rFonts w:eastAsiaTheme="minorEastAsia"/>
              </w:rPr>
            </w:pPr>
            <w:r w:rsidRPr="0071074A">
              <w:rPr>
                <w:rFonts w:eastAsiaTheme="minorEastAsia"/>
              </w:rPr>
              <w:t xml:space="preserve">2.Act </w:t>
            </w:r>
            <w:r w:rsidRPr="0071074A">
              <w:t xml:space="preserve"> </w:t>
            </w:r>
            <w:sdt>
              <w:sdtPr>
                <w:id w:val="-1264144370"/>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35A590FA" w14:textId="77777777" w:rsidR="00A6185E" w:rsidRPr="0071074A" w:rsidRDefault="00A6185E" w:rsidP="00A6185E">
            <w:pPr>
              <w:rPr>
                <w:rFonts w:eastAsiaTheme="minorEastAsia"/>
              </w:rPr>
            </w:pPr>
          </w:p>
        </w:tc>
        <w:tc>
          <w:tcPr>
            <w:tcW w:w="2234" w:type="dxa"/>
          </w:tcPr>
          <w:p w14:paraId="2BB784A3" w14:textId="3FA079F8" w:rsidR="00A6185E" w:rsidRPr="0071074A" w:rsidRDefault="00A6185E" w:rsidP="00A6185E">
            <w:r w:rsidRPr="0071074A">
              <w:rPr>
                <w:rFonts w:eastAsiaTheme="minorEastAsia"/>
              </w:rPr>
              <w:t>Coordinate</w:t>
            </w:r>
            <w:r w:rsidRPr="0071074A">
              <w:t xml:space="preserve"> </w:t>
            </w:r>
            <w:sdt>
              <w:sdtPr>
                <w:id w:val="1146097568"/>
                <w14:checkbox>
                  <w14:checked w14:val="1"/>
                  <w14:checkedState w14:val="2612" w14:font="MS Gothic"/>
                  <w14:uncheckedState w14:val="2610" w14:font="MS Gothic"/>
                </w14:checkbox>
              </w:sdtPr>
              <w:sdtEndPr/>
              <w:sdtContent>
                <w:r w:rsidR="00026040" w:rsidRPr="0071074A">
                  <w:rPr>
                    <w:rFonts w:ascii="MS Gothic" w:eastAsia="MS Gothic" w:hAnsi="MS Gothic" w:hint="eastAsia"/>
                  </w:rPr>
                  <w:t>☒</w:t>
                </w:r>
              </w:sdtContent>
            </w:sdt>
          </w:p>
          <w:p w14:paraId="3A68356F" w14:textId="77777777" w:rsidR="00A6185E" w:rsidRPr="0071074A" w:rsidRDefault="00A6185E" w:rsidP="00A6185E">
            <w:pPr>
              <w:rPr>
                <w:rFonts w:eastAsiaTheme="minorEastAsia"/>
              </w:rPr>
            </w:pPr>
          </w:p>
        </w:tc>
        <w:tc>
          <w:tcPr>
            <w:tcW w:w="2172" w:type="dxa"/>
          </w:tcPr>
          <w:p w14:paraId="4AD6C375" w14:textId="3441B61C" w:rsidR="00A6185E" w:rsidRPr="0071074A" w:rsidRDefault="00A6185E" w:rsidP="00A6185E">
            <w:r w:rsidRPr="0071074A">
              <w:rPr>
                <w:rFonts w:eastAsiaTheme="minorEastAsia"/>
              </w:rPr>
              <w:t xml:space="preserve">Campus Environment (Facilities &amp; Services) (Pillar 2) </w:t>
            </w:r>
            <w:sdt>
              <w:sdtPr>
                <w:id w:val="-1232082107"/>
                <w14:checkbox>
                  <w14:checked w14:val="1"/>
                  <w14:checkedState w14:val="2612" w14:font="MS Gothic"/>
                  <w14:uncheckedState w14:val="2610" w14:font="MS Gothic"/>
                </w14:checkbox>
              </w:sdtPr>
              <w:sdtEndPr/>
              <w:sdtContent>
                <w:r w:rsidR="00EA22B2" w:rsidRPr="0071074A">
                  <w:rPr>
                    <w:rFonts w:ascii="MS Gothic" w:eastAsia="MS Gothic" w:hAnsi="MS Gothic" w:hint="eastAsia"/>
                  </w:rPr>
                  <w:t>☒</w:t>
                </w:r>
              </w:sdtContent>
            </w:sdt>
          </w:p>
          <w:p w14:paraId="2C153B11" w14:textId="77777777" w:rsidR="00A6185E" w:rsidRPr="0071074A" w:rsidRDefault="00A6185E" w:rsidP="00A6185E">
            <w:pPr>
              <w:rPr>
                <w:rFonts w:eastAsiaTheme="minorEastAsia"/>
              </w:rPr>
            </w:pPr>
          </w:p>
        </w:tc>
        <w:tc>
          <w:tcPr>
            <w:tcW w:w="1973" w:type="dxa"/>
          </w:tcPr>
          <w:p w14:paraId="4587D3AB" w14:textId="211B8341" w:rsidR="00A6185E" w:rsidRPr="0071074A" w:rsidRDefault="00A6185E" w:rsidP="00A6185E">
            <w:pPr>
              <w:rPr>
                <w:rFonts w:eastAsiaTheme="minorEastAsia"/>
              </w:rPr>
            </w:pPr>
            <w:r w:rsidRPr="0071074A">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00026040" w:rsidRPr="0071074A">
                  <w:rPr>
                    <w:rFonts w:ascii="MS Gothic" w:eastAsia="MS Gothic" w:hAnsi="MS Gothic" w:hint="eastAsia"/>
                  </w:rPr>
                  <w:t>☒</w:t>
                </w:r>
              </w:sdtContent>
            </w:sdt>
          </w:p>
        </w:tc>
        <w:tc>
          <w:tcPr>
            <w:tcW w:w="2461" w:type="dxa"/>
          </w:tcPr>
          <w:p w14:paraId="06D00E75" w14:textId="468BE2F0" w:rsidR="00A6185E" w:rsidRPr="0071074A" w:rsidRDefault="00A6185E" w:rsidP="00A6185E">
            <w:pPr>
              <w:rPr>
                <w:rFonts w:eastAsiaTheme="minorEastAsia"/>
              </w:rPr>
            </w:pPr>
            <w:r w:rsidRPr="0071074A">
              <w:rPr>
                <w:rFonts w:eastAsiaTheme="minorEastAsia"/>
              </w:rPr>
              <w:t>Collaborate</w:t>
            </w:r>
            <w:r w:rsidRPr="0071074A">
              <w:t xml:space="preserve"> </w:t>
            </w:r>
            <w:sdt>
              <w:sdtPr>
                <w:id w:val="-250892258"/>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66EECB10" w14:textId="77777777" w:rsidTr="0370C70B">
        <w:trPr>
          <w:trHeight w:val="294"/>
        </w:trPr>
        <w:tc>
          <w:tcPr>
            <w:tcW w:w="1838" w:type="dxa"/>
          </w:tcPr>
          <w:p w14:paraId="572DE107" w14:textId="77777777" w:rsidR="00A6185E" w:rsidRPr="0071074A" w:rsidRDefault="00A6185E" w:rsidP="00A6185E">
            <w:pPr>
              <w:rPr>
                <w:rFonts w:eastAsiaTheme="minorEastAsia"/>
              </w:rPr>
            </w:pPr>
            <w:r w:rsidRPr="0071074A">
              <w:rPr>
                <w:rFonts w:eastAsiaTheme="minorEastAsia"/>
              </w:rPr>
              <w:t xml:space="preserve">3.Localise </w:t>
            </w:r>
            <w:r w:rsidRPr="0071074A">
              <w:t xml:space="preserve"> </w:t>
            </w:r>
            <w:sdt>
              <w:sdtPr>
                <w:id w:val="643855803"/>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161EAE79" w14:textId="77777777" w:rsidR="00A6185E" w:rsidRPr="0071074A" w:rsidRDefault="00A6185E" w:rsidP="00A6185E">
            <w:pPr>
              <w:rPr>
                <w:rFonts w:eastAsiaTheme="minorEastAsia"/>
              </w:rPr>
            </w:pPr>
          </w:p>
        </w:tc>
        <w:tc>
          <w:tcPr>
            <w:tcW w:w="2234" w:type="dxa"/>
          </w:tcPr>
          <w:p w14:paraId="32182522" w14:textId="1B7E38E4" w:rsidR="00A6185E" w:rsidRPr="0071074A" w:rsidRDefault="00A6185E" w:rsidP="00A6185E">
            <w:r w:rsidRPr="0071074A">
              <w:rPr>
                <w:rFonts w:eastAsiaTheme="minorEastAsia"/>
              </w:rPr>
              <w:t xml:space="preserve">Consult </w:t>
            </w:r>
            <w:sdt>
              <w:sdtPr>
                <w:id w:val="955906564"/>
                <w14:checkbox>
                  <w14:checked w14:val="1"/>
                  <w14:checkedState w14:val="2612" w14:font="MS Gothic"/>
                  <w14:uncheckedState w14:val="2610" w14:font="MS Gothic"/>
                </w14:checkbox>
              </w:sdtPr>
              <w:sdtEndPr/>
              <w:sdtContent>
                <w:r w:rsidR="00026040" w:rsidRPr="0071074A">
                  <w:rPr>
                    <w:rFonts w:ascii="MS Gothic" w:eastAsia="MS Gothic" w:hAnsi="MS Gothic" w:hint="eastAsia"/>
                  </w:rPr>
                  <w:t>☒</w:t>
                </w:r>
              </w:sdtContent>
            </w:sdt>
          </w:p>
          <w:p w14:paraId="635566A3" w14:textId="77777777" w:rsidR="00A6185E" w:rsidRPr="0071074A" w:rsidRDefault="00A6185E" w:rsidP="00A6185E">
            <w:pPr>
              <w:rPr>
                <w:rFonts w:eastAsiaTheme="minorEastAsia"/>
              </w:rPr>
            </w:pPr>
          </w:p>
        </w:tc>
        <w:tc>
          <w:tcPr>
            <w:tcW w:w="2172" w:type="dxa"/>
          </w:tcPr>
          <w:p w14:paraId="5E4F5A86" w14:textId="77777777" w:rsidR="00A6185E" w:rsidRPr="0071074A" w:rsidRDefault="00A6185E" w:rsidP="00A6185E">
            <w:r w:rsidRPr="0071074A">
              <w:rPr>
                <w:rFonts w:eastAsiaTheme="minorEastAsia"/>
              </w:rPr>
              <w:t xml:space="preserve">Campus Culture &amp; Communications (Pillar 3) </w:t>
            </w:r>
            <w:sdt>
              <w:sdtPr>
                <w:id w:val="929542715"/>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2550A252" w14:textId="77777777" w:rsidR="00A6185E" w:rsidRPr="0071074A" w:rsidRDefault="00A6185E" w:rsidP="00A6185E">
            <w:pPr>
              <w:rPr>
                <w:rFonts w:eastAsiaTheme="minorEastAsia"/>
              </w:rPr>
            </w:pPr>
          </w:p>
        </w:tc>
        <w:tc>
          <w:tcPr>
            <w:tcW w:w="1973" w:type="dxa"/>
          </w:tcPr>
          <w:p w14:paraId="216FDCE3" w14:textId="205B871A" w:rsidR="00A6185E" w:rsidRPr="0071074A" w:rsidRDefault="00A6185E" w:rsidP="00A6185E">
            <w:pPr>
              <w:rPr>
                <w:rFonts w:eastAsiaTheme="minorEastAsia"/>
              </w:rPr>
            </w:pPr>
            <w:r w:rsidRPr="0071074A">
              <w:rPr>
                <w:rFonts w:eastAsiaTheme="minorEastAsia"/>
              </w:rPr>
              <w:t xml:space="preserve">Evidence Based </w:t>
            </w:r>
            <w:sdt>
              <w:sdtPr>
                <w:id w:val="-1448545093"/>
                <w14:checkbox>
                  <w14:checked w14:val="1"/>
                  <w14:checkedState w14:val="2612" w14:font="MS Gothic"/>
                  <w14:uncheckedState w14:val="2610" w14:font="MS Gothic"/>
                </w14:checkbox>
              </w:sdtPr>
              <w:sdtEndPr/>
              <w:sdtContent>
                <w:r w:rsidR="0018344F" w:rsidRPr="0071074A">
                  <w:rPr>
                    <w:rFonts w:ascii="MS Gothic" w:eastAsia="MS Gothic" w:hAnsi="MS Gothic" w:hint="eastAsia"/>
                  </w:rPr>
                  <w:t>☒</w:t>
                </w:r>
              </w:sdtContent>
            </w:sdt>
          </w:p>
        </w:tc>
        <w:tc>
          <w:tcPr>
            <w:tcW w:w="2461" w:type="dxa"/>
          </w:tcPr>
          <w:p w14:paraId="5B79B3AD" w14:textId="77777777" w:rsidR="00A6185E" w:rsidRPr="0071074A" w:rsidRDefault="00A6185E" w:rsidP="00A6185E">
            <w:pPr>
              <w:spacing w:line="259" w:lineRule="auto"/>
              <w:rPr>
                <w:rFonts w:eastAsiaTheme="minorEastAsia"/>
              </w:rPr>
            </w:pPr>
            <w:r w:rsidRPr="0071074A">
              <w:rPr>
                <w:rFonts w:eastAsiaTheme="minorEastAsia"/>
              </w:rPr>
              <w:t xml:space="preserve">Educate </w:t>
            </w:r>
            <w:r w:rsidRPr="0071074A">
              <w:t xml:space="preserve"> </w:t>
            </w:r>
            <w:sdt>
              <w:sdtPr>
                <w:id w:val="-744338965"/>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1485CF49" w14:textId="77777777" w:rsidTr="0370C70B">
        <w:trPr>
          <w:trHeight w:val="294"/>
        </w:trPr>
        <w:tc>
          <w:tcPr>
            <w:tcW w:w="1838" w:type="dxa"/>
          </w:tcPr>
          <w:p w14:paraId="71F10F22" w14:textId="1DAF1B9E" w:rsidR="00A6185E" w:rsidRPr="0071074A" w:rsidRDefault="00A6185E" w:rsidP="00A6185E">
            <w:pPr>
              <w:rPr>
                <w:rFonts w:eastAsiaTheme="minorEastAsia"/>
              </w:rPr>
            </w:pPr>
            <w:r w:rsidRPr="0071074A">
              <w:rPr>
                <w:rFonts w:eastAsiaTheme="minorEastAsia"/>
              </w:rPr>
              <w:t>4.Leadership</w:t>
            </w:r>
            <w:r w:rsidRPr="0071074A">
              <w:t xml:space="preserve"> </w:t>
            </w:r>
            <w:sdt>
              <w:sdtPr>
                <w:id w:val="-229313684"/>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47DE81E3" w14:textId="77777777" w:rsidR="00A6185E" w:rsidRPr="0071074A" w:rsidRDefault="00A6185E" w:rsidP="00A6185E">
            <w:pPr>
              <w:rPr>
                <w:rFonts w:eastAsiaTheme="minorEastAsia"/>
              </w:rPr>
            </w:pPr>
          </w:p>
        </w:tc>
        <w:tc>
          <w:tcPr>
            <w:tcW w:w="2234" w:type="dxa"/>
            <w:tcBorders>
              <w:bottom w:val="single" w:sz="4" w:space="0" w:color="000000" w:themeColor="text1"/>
            </w:tcBorders>
          </w:tcPr>
          <w:p w14:paraId="3E29C917" w14:textId="7EDB309D" w:rsidR="00A6185E" w:rsidRPr="0071074A" w:rsidRDefault="00A6185E" w:rsidP="00A6185E">
            <w:r w:rsidRPr="0071074A">
              <w:rPr>
                <w:rFonts w:eastAsiaTheme="minorEastAsia"/>
              </w:rPr>
              <w:t xml:space="preserve">Create </w:t>
            </w:r>
            <w:sdt>
              <w:sdtPr>
                <w:id w:val="-323055325"/>
                <w14:checkbox>
                  <w14:checked w14:val="1"/>
                  <w14:checkedState w14:val="2612" w14:font="MS Gothic"/>
                  <w14:uncheckedState w14:val="2610" w14:font="MS Gothic"/>
                </w14:checkbox>
              </w:sdtPr>
              <w:sdtEndPr/>
              <w:sdtContent>
                <w:r w:rsidR="00026040" w:rsidRPr="0071074A">
                  <w:rPr>
                    <w:rFonts w:ascii="MS Gothic" w:eastAsia="MS Gothic" w:hAnsi="MS Gothic" w:hint="eastAsia"/>
                  </w:rPr>
                  <w:t>☒</w:t>
                </w:r>
              </w:sdtContent>
            </w:sdt>
          </w:p>
          <w:p w14:paraId="64145936" w14:textId="77777777" w:rsidR="00A6185E" w:rsidRPr="0071074A"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Pr="0071074A" w:rsidRDefault="00A6185E" w:rsidP="00A6185E">
            <w:pPr>
              <w:rPr>
                <w:rFonts w:eastAsiaTheme="minorEastAsia"/>
              </w:rPr>
            </w:pPr>
            <w:r w:rsidRPr="0071074A">
              <w:rPr>
                <w:rFonts w:eastAsiaTheme="minorEastAsia"/>
              </w:rPr>
              <w:t xml:space="preserve">Personal &amp; Professional Development </w:t>
            </w:r>
          </w:p>
          <w:p w14:paraId="7BAF4EFF" w14:textId="7C13676F" w:rsidR="00A6185E" w:rsidRPr="0071074A" w:rsidRDefault="00A6185E" w:rsidP="00A6185E">
            <w:pPr>
              <w:rPr>
                <w:rFonts w:eastAsiaTheme="minorEastAsia"/>
              </w:rPr>
            </w:pPr>
            <w:r w:rsidRPr="0071074A">
              <w:rPr>
                <w:rFonts w:eastAsiaTheme="minorEastAsia"/>
              </w:rPr>
              <w:t xml:space="preserve">(Pillar 4)  </w:t>
            </w:r>
            <w:sdt>
              <w:sdtPr>
                <w:id w:val="364410031"/>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c>
          <w:tcPr>
            <w:tcW w:w="1973" w:type="dxa"/>
            <w:tcBorders>
              <w:bottom w:val="single" w:sz="4" w:space="0" w:color="000000" w:themeColor="text1"/>
            </w:tcBorders>
          </w:tcPr>
          <w:p w14:paraId="0F767970" w14:textId="6A7A88E9" w:rsidR="00A6185E" w:rsidRPr="0071074A" w:rsidRDefault="00A6185E" w:rsidP="00A6185E">
            <w:pPr>
              <w:rPr>
                <w:rFonts w:eastAsiaTheme="minorEastAsia"/>
              </w:rPr>
            </w:pPr>
            <w:r w:rsidRPr="0071074A">
              <w:rPr>
                <w:rFonts w:eastAsiaTheme="minorEastAsia"/>
              </w:rPr>
              <w:t>Sustainability (Longevity)</w:t>
            </w:r>
            <w:r w:rsidR="00764072" w:rsidRPr="0071074A">
              <w:t xml:space="preserve"> </w:t>
            </w:r>
            <w:sdt>
              <w:sdtPr>
                <w:id w:val="-2049208822"/>
                <w14:checkbox>
                  <w14:checked w14:val="1"/>
                  <w14:checkedState w14:val="2612" w14:font="MS Gothic"/>
                  <w14:uncheckedState w14:val="2610" w14:font="MS Gothic"/>
                </w14:checkbox>
              </w:sdtPr>
              <w:sdtEndPr/>
              <w:sdtContent>
                <w:r w:rsidR="0018344F" w:rsidRPr="0071074A">
                  <w:rPr>
                    <w:rFonts w:ascii="MS Gothic" w:eastAsia="MS Gothic" w:hAnsi="MS Gothic" w:hint="eastAsia"/>
                  </w:rPr>
                  <w:t>☒</w:t>
                </w:r>
              </w:sdtContent>
            </w:sdt>
          </w:p>
          <w:p w14:paraId="2A8B6986" w14:textId="77777777" w:rsidR="00A6185E" w:rsidRPr="0071074A" w:rsidRDefault="00A6185E" w:rsidP="00A6185E">
            <w:pPr>
              <w:rPr>
                <w:rFonts w:eastAsiaTheme="minorEastAsia"/>
              </w:rPr>
            </w:pPr>
          </w:p>
          <w:p w14:paraId="03269559" w14:textId="77777777" w:rsidR="007D0886" w:rsidRPr="0071074A" w:rsidRDefault="007D0886" w:rsidP="00A6185E">
            <w:pPr>
              <w:rPr>
                <w:rFonts w:eastAsiaTheme="minorEastAsia"/>
              </w:rPr>
            </w:pPr>
          </w:p>
          <w:p w14:paraId="4F1D6746" w14:textId="7B1F56B8" w:rsidR="007D0886" w:rsidRPr="0071074A" w:rsidRDefault="007D0886" w:rsidP="00A6185E">
            <w:pPr>
              <w:rPr>
                <w:rFonts w:eastAsiaTheme="minorEastAsia"/>
              </w:rPr>
            </w:pPr>
          </w:p>
        </w:tc>
        <w:tc>
          <w:tcPr>
            <w:tcW w:w="2461" w:type="dxa"/>
          </w:tcPr>
          <w:p w14:paraId="360FBB00" w14:textId="77777777" w:rsidR="00A6185E" w:rsidRPr="0071074A" w:rsidRDefault="00A6185E" w:rsidP="00A6185E">
            <w:pPr>
              <w:rPr>
                <w:rFonts w:eastAsiaTheme="minorEastAsia"/>
              </w:rPr>
            </w:pPr>
            <w:r w:rsidRPr="0071074A">
              <w:rPr>
                <w:rFonts w:eastAsiaTheme="minorEastAsia"/>
              </w:rPr>
              <w:t xml:space="preserve">Engage </w:t>
            </w:r>
            <w:r w:rsidRPr="0071074A">
              <w:t xml:space="preserve"> </w:t>
            </w:r>
            <w:sdt>
              <w:sdtPr>
                <w:id w:val="-1288277402"/>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46D5C2BB" w14:textId="77777777" w:rsidTr="0370C70B">
        <w:trPr>
          <w:trHeight w:val="294"/>
        </w:trPr>
        <w:tc>
          <w:tcPr>
            <w:tcW w:w="1838" w:type="dxa"/>
            <w:tcBorders>
              <w:bottom w:val="single" w:sz="4" w:space="0" w:color="000000" w:themeColor="text1"/>
            </w:tcBorders>
          </w:tcPr>
          <w:p w14:paraId="6C6DE6A7" w14:textId="77777777" w:rsidR="00A6185E" w:rsidRPr="0071074A" w:rsidRDefault="00A6185E" w:rsidP="00A6185E">
            <w:r w:rsidRPr="0071074A">
              <w:t xml:space="preserve">5.Policies  </w:t>
            </w:r>
            <w:sdt>
              <w:sdtPr>
                <w:id w:val="-44459000"/>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c>
          <w:tcPr>
            <w:tcW w:w="2234" w:type="dxa"/>
            <w:tcBorders>
              <w:bottom w:val="single" w:sz="4" w:space="0" w:color="auto"/>
            </w:tcBorders>
          </w:tcPr>
          <w:p w14:paraId="4F368B47" w14:textId="77777777" w:rsidR="00A6185E" w:rsidRPr="0071074A" w:rsidRDefault="00A6185E" w:rsidP="00A6185E">
            <w:r w:rsidRPr="0071074A">
              <w:rPr>
                <w:rFonts w:eastAsiaTheme="minorEastAsia"/>
              </w:rPr>
              <w:t xml:space="preserve">Celebrate &amp; continue  </w:t>
            </w:r>
            <w:sdt>
              <w:sdtPr>
                <w:id w:val="-1867205490"/>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7A8A114F" w14:textId="77777777" w:rsidR="00A6185E" w:rsidRPr="0071074A" w:rsidRDefault="00A6185E" w:rsidP="00A6185E">
            <w:pPr>
              <w:rPr>
                <w:rFonts w:eastAsiaTheme="minorEastAsia"/>
              </w:rPr>
            </w:pPr>
          </w:p>
        </w:tc>
        <w:tc>
          <w:tcPr>
            <w:tcW w:w="2172" w:type="dxa"/>
            <w:tcBorders>
              <w:bottom w:val="single" w:sz="4" w:space="0" w:color="auto"/>
            </w:tcBorders>
          </w:tcPr>
          <w:p w14:paraId="1DC700D5" w14:textId="77777777" w:rsidR="00A6185E" w:rsidRPr="0071074A" w:rsidRDefault="00A6185E" w:rsidP="00A6185E">
            <w:pPr>
              <w:rPr>
                <w:rFonts w:eastAsiaTheme="minorEastAsia"/>
              </w:rPr>
            </w:pPr>
            <w:r w:rsidRPr="0071074A">
              <w:rPr>
                <w:rFonts w:eastAsiaTheme="minorEastAsia"/>
              </w:rPr>
              <w:t xml:space="preserve">Health Focused Area (Pillar 5) </w:t>
            </w:r>
            <w:sdt>
              <w:sdtPr>
                <w:id w:val="1874804579"/>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0071074A"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Pr="0071074A" w:rsidRDefault="00A6185E" w:rsidP="00A6185E">
            <w:r w:rsidRPr="0071074A">
              <w:t xml:space="preserve">Identify  </w:t>
            </w:r>
            <w:sdt>
              <w:sdtPr>
                <w:id w:val="1949584817"/>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028C5057" w14:textId="77777777" w:rsidTr="0370C70B">
        <w:trPr>
          <w:trHeight w:val="294"/>
        </w:trPr>
        <w:tc>
          <w:tcPr>
            <w:tcW w:w="1838" w:type="dxa"/>
            <w:tcBorders>
              <w:right w:val="single" w:sz="4" w:space="0" w:color="auto"/>
            </w:tcBorders>
          </w:tcPr>
          <w:p w14:paraId="119C514F" w14:textId="77777777" w:rsidR="00A6185E" w:rsidRPr="0071074A" w:rsidRDefault="00A6185E" w:rsidP="00A6185E">
            <w:r w:rsidRPr="0071074A">
              <w:t xml:space="preserve">6.Culture </w:t>
            </w:r>
            <w:sdt>
              <w:sdtPr>
                <w:id w:val="-1913149661"/>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34E80137" w14:textId="77777777" w:rsidR="00A6185E" w:rsidRPr="0071074A"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Pr="0071074A"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Pr="0071074A"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0071074A" w:rsidRDefault="00A6185E" w:rsidP="00A6185E">
            <w:pPr>
              <w:rPr>
                <w:rFonts w:eastAsiaTheme="minorEastAsia"/>
              </w:rPr>
            </w:pPr>
          </w:p>
        </w:tc>
        <w:tc>
          <w:tcPr>
            <w:tcW w:w="2461" w:type="dxa"/>
            <w:tcBorders>
              <w:left w:val="single" w:sz="4" w:space="0" w:color="auto"/>
            </w:tcBorders>
          </w:tcPr>
          <w:p w14:paraId="5278F0E1" w14:textId="77777777" w:rsidR="00A6185E" w:rsidRPr="0071074A" w:rsidRDefault="00A6185E" w:rsidP="00A6185E">
            <w:r w:rsidRPr="0071074A">
              <w:t xml:space="preserve">Support  </w:t>
            </w:r>
            <w:sdt>
              <w:sdtPr>
                <w:id w:val="-1492094410"/>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04BDDB22" w14:textId="77777777" w:rsidR="00A6185E" w:rsidRPr="0071074A" w:rsidRDefault="00A6185E" w:rsidP="00A6185E"/>
        </w:tc>
      </w:tr>
      <w:tr w:rsidR="00A6185E" w:rsidRPr="0071074A" w14:paraId="347B6B56" w14:textId="77777777" w:rsidTr="0370C70B">
        <w:trPr>
          <w:trHeight w:val="294"/>
        </w:trPr>
        <w:tc>
          <w:tcPr>
            <w:tcW w:w="1838" w:type="dxa"/>
            <w:tcBorders>
              <w:right w:val="single" w:sz="4" w:space="0" w:color="auto"/>
            </w:tcBorders>
          </w:tcPr>
          <w:p w14:paraId="5BF2DACB" w14:textId="0AA12507" w:rsidR="00A6185E" w:rsidRPr="0071074A" w:rsidRDefault="00A6185E" w:rsidP="00A6185E">
            <w:r w:rsidRPr="0071074A">
              <w:t xml:space="preserve">7.Partnership </w:t>
            </w:r>
            <w:sdt>
              <w:sdtPr>
                <w:id w:val="539867599"/>
                <w14:checkbox>
                  <w14:checked w14:val="1"/>
                  <w14:checkedState w14:val="2612" w14:font="MS Gothic"/>
                  <w14:uncheckedState w14:val="2610" w14:font="MS Gothic"/>
                </w14:checkbox>
              </w:sdtPr>
              <w:sdtEndPr/>
              <w:sdtContent>
                <w:r w:rsidR="00EA22B2" w:rsidRPr="0071074A">
                  <w:rPr>
                    <w:rFonts w:ascii="MS Gothic" w:eastAsia="MS Gothic" w:hAnsi="MS Gothic" w:hint="eastAsia"/>
                  </w:rPr>
                  <w:t>☒</w:t>
                </w:r>
              </w:sdtContent>
            </w:sdt>
          </w:p>
          <w:p w14:paraId="0EC078A4" w14:textId="77777777" w:rsidR="00A6185E" w:rsidRPr="0071074A"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Pr="0071074A" w:rsidRDefault="00A6185E" w:rsidP="00A6185E">
            <w:pPr>
              <w:rPr>
                <w:rFonts w:eastAsiaTheme="minorEastAsia"/>
              </w:rPr>
            </w:pPr>
          </w:p>
          <w:p w14:paraId="3572726A" w14:textId="77777777" w:rsidR="00A6185E" w:rsidRPr="0071074A" w:rsidRDefault="00A6185E" w:rsidP="00A6185E">
            <w:pPr>
              <w:rPr>
                <w:rFonts w:eastAsiaTheme="minorEastAsia"/>
              </w:rPr>
            </w:pPr>
          </w:p>
        </w:tc>
        <w:tc>
          <w:tcPr>
            <w:tcW w:w="2172" w:type="dxa"/>
            <w:tcBorders>
              <w:top w:val="nil"/>
              <w:left w:val="nil"/>
              <w:bottom w:val="nil"/>
              <w:right w:val="nil"/>
            </w:tcBorders>
          </w:tcPr>
          <w:p w14:paraId="029C20CE" w14:textId="77777777" w:rsidR="00A6185E" w:rsidRPr="0071074A"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0071074A" w:rsidRDefault="00A6185E" w:rsidP="00A6185E">
            <w:pPr>
              <w:rPr>
                <w:rFonts w:eastAsiaTheme="minorEastAsia"/>
              </w:rPr>
            </w:pPr>
          </w:p>
        </w:tc>
        <w:tc>
          <w:tcPr>
            <w:tcW w:w="2461" w:type="dxa"/>
            <w:tcBorders>
              <w:left w:val="single" w:sz="4" w:space="0" w:color="auto"/>
            </w:tcBorders>
          </w:tcPr>
          <w:p w14:paraId="23CAC1D9" w14:textId="77777777" w:rsidR="00A6185E" w:rsidRPr="0071074A" w:rsidRDefault="00A6185E" w:rsidP="00A6185E">
            <w:r w:rsidRPr="0071074A">
              <w:t xml:space="preserve">Respond  </w:t>
            </w:r>
            <w:sdt>
              <w:sdtPr>
                <w:id w:val="-757049694"/>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43D50C98" w14:textId="77777777" w:rsidTr="0370C70B">
        <w:trPr>
          <w:trHeight w:val="294"/>
        </w:trPr>
        <w:tc>
          <w:tcPr>
            <w:tcW w:w="1838" w:type="dxa"/>
            <w:tcBorders>
              <w:right w:val="single" w:sz="4" w:space="0" w:color="auto"/>
            </w:tcBorders>
          </w:tcPr>
          <w:p w14:paraId="7DD1A359" w14:textId="77777777" w:rsidR="00A6185E" w:rsidRPr="0071074A" w:rsidRDefault="00A6185E" w:rsidP="00A6185E">
            <w:r w:rsidRPr="0071074A">
              <w:t xml:space="preserve">8.Students  </w:t>
            </w:r>
            <w:sdt>
              <w:sdtPr>
                <w:id w:val="-949245397"/>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6E7476C1" w14:textId="77777777" w:rsidR="00A6185E" w:rsidRPr="0071074A" w:rsidRDefault="00A6185E" w:rsidP="00A6185E"/>
        </w:tc>
        <w:tc>
          <w:tcPr>
            <w:tcW w:w="2234" w:type="dxa"/>
            <w:tcBorders>
              <w:top w:val="nil"/>
              <w:left w:val="single" w:sz="4" w:space="0" w:color="auto"/>
              <w:bottom w:val="nil"/>
              <w:right w:val="nil"/>
            </w:tcBorders>
          </w:tcPr>
          <w:p w14:paraId="04FCB9D6" w14:textId="77777777" w:rsidR="00A6185E" w:rsidRPr="0071074A" w:rsidRDefault="00A6185E" w:rsidP="00A6185E"/>
        </w:tc>
        <w:tc>
          <w:tcPr>
            <w:tcW w:w="2172" w:type="dxa"/>
            <w:tcBorders>
              <w:top w:val="nil"/>
              <w:left w:val="nil"/>
              <w:bottom w:val="nil"/>
              <w:right w:val="nil"/>
            </w:tcBorders>
          </w:tcPr>
          <w:p w14:paraId="6E71F39F" w14:textId="77777777" w:rsidR="00A6185E" w:rsidRPr="0071074A" w:rsidRDefault="00A6185E" w:rsidP="00A6185E"/>
        </w:tc>
        <w:tc>
          <w:tcPr>
            <w:tcW w:w="1973" w:type="dxa"/>
            <w:tcBorders>
              <w:top w:val="nil"/>
              <w:left w:val="nil"/>
              <w:bottom w:val="nil"/>
              <w:right w:val="single" w:sz="4" w:space="0" w:color="auto"/>
            </w:tcBorders>
          </w:tcPr>
          <w:p w14:paraId="249C1366" w14:textId="77777777" w:rsidR="00A6185E" w:rsidRPr="0071074A" w:rsidRDefault="00A6185E" w:rsidP="00A6185E">
            <w:pPr>
              <w:rPr>
                <w:rFonts w:eastAsiaTheme="minorEastAsia"/>
              </w:rPr>
            </w:pPr>
          </w:p>
        </w:tc>
        <w:tc>
          <w:tcPr>
            <w:tcW w:w="2461" w:type="dxa"/>
            <w:tcBorders>
              <w:left w:val="single" w:sz="4" w:space="0" w:color="auto"/>
            </w:tcBorders>
          </w:tcPr>
          <w:p w14:paraId="12A0F49E" w14:textId="0B473A15" w:rsidR="00A6185E" w:rsidRPr="0071074A" w:rsidRDefault="00A6185E" w:rsidP="00A6185E">
            <w:r w:rsidRPr="0071074A">
              <w:t xml:space="preserve">Transition </w:t>
            </w:r>
            <w:sdt>
              <w:sdtPr>
                <w:id w:val="-1259830735"/>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06C8FA84" w14:textId="77777777" w:rsidTr="0370C70B">
        <w:trPr>
          <w:trHeight w:val="294"/>
        </w:trPr>
        <w:tc>
          <w:tcPr>
            <w:tcW w:w="1838" w:type="dxa"/>
            <w:tcBorders>
              <w:right w:val="single" w:sz="4" w:space="0" w:color="auto"/>
            </w:tcBorders>
          </w:tcPr>
          <w:p w14:paraId="5F50E9BA" w14:textId="77777777" w:rsidR="00A6185E" w:rsidRPr="0071074A" w:rsidRDefault="00A6185E" w:rsidP="00A6185E">
            <w:r w:rsidRPr="0071074A">
              <w:t xml:space="preserve">9.Research  </w:t>
            </w:r>
            <w:sdt>
              <w:sdtPr>
                <w:id w:val="1304429174"/>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3E235B7D" w14:textId="77777777" w:rsidR="00A6185E" w:rsidRPr="0071074A" w:rsidRDefault="00A6185E" w:rsidP="00A6185E"/>
        </w:tc>
        <w:tc>
          <w:tcPr>
            <w:tcW w:w="2234" w:type="dxa"/>
            <w:tcBorders>
              <w:top w:val="nil"/>
              <w:left w:val="single" w:sz="4" w:space="0" w:color="auto"/>
              <w:bottom w:val="nil"/>
              <w:right w:val="nil"/>
            </w:tcBorders>
          </w:tcPr>
          <w:p w14:paraId="6D7998DC" w14:textId="77777777" w:rsidR="00A6185E" w:rsidRPr="0071074A" w:rsidRDefault="00A6185E" w:rsidP="00A6185E"/>
        </w:tc>
        <w:tc>
          <w:tcPr>
            <w:tcW w:w="2172" w:type="dxa"/>
            <w:tcBorders>
              <w:top w:val="nil"/>
              <w:left w:val="nil"/>
              <w:bottom w:val="nil"/>
              <w:right w:val="nil"/>
            </w:tcBorders>
          </w:tcPr>
          <w:p w14:paraId="6CEA1094" w14:textId="77777777" w:rsidR="00A6185E" w:rsidRPr="0071074A" w:rsidRDefault="00A6185E" w:rsidP="00A6185E"/>
        </w:tc>
        <w:tc>
          <w:tcPr>
            <w:tcW w:w="1973" w:type="dxa"/>
            <w:tcBorders>
              <w:top w:val="nil"/>
              <w:left w:val="nil"/>
              <w:bottom w:val="nil"/>
              <w:right w:val="single" w:sz="4" w:space="0" w:color="auto"/>
            </w:tcBorders>
          </w:tcPr>
          <w:p w14:paraId="6A8AE3E4" w14:textId="77777777" w:rsidR="00A6185E" w:rsidRPr="0071074A" w:rsidRDefault="00A6185E" w:rsidP="00A6185E">
            <w:pPr>
              <w:rPr>
                <w:rFonts w:eastAsiaTheme="minorEastAsia"/>
              </w:rPr>
            </w:pPr>
          </w:p>
        </w:tc>
        <w:tc>
          <w:tcPr>
            <w:tcW w:w="2461" w:type="dxa"/>
            <w:tcBorders>
              <w:left w:val="single" w:sz="4" w:space="0" w:color="auto"/>
            </w:tcBorders>
          </w:tcPr>
          <w:p w14:paraId="6D5591D8" w14:textId="77777777" w:rsidR="00A6185E" w:rsidRPr="0071074A" w:rsidRDefault="00A6185E" w:rsidP="00A6185E">
            <w:r w:rsidRPr="0071074A">
              <w:t xml:space="preserve">Improve  </w:t>
            </w:r>
            <w:sdt>
              <w:sdtPr>
                <w:id w:val="1227487023"/>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tc>
      </w:tr>
      <w:tr w:rsidR="00A6185E" w:rsidRPr="0071074A" w14:paraId="46898E7C" w14:textId="77777777" w:rsidTr="0370C70B">
        <w:trPr>
          <w:gridAfter w:val="1"/>
          <w:wAfter w:w="2461" w:type="dxa"/>
          <w:trHeight w:val="294"/>
        </w:trPr>
        <w:tc>
          <w:tcPr>
            <w:tcW w:w="1838" w:type="dxa"/>
            <w:tcBorders>
              <w:right w:val="single" w:sz="4" w:space="0" w:color="auto"/>
            </w:tcBorders>
          </w:tcPr>
          <w:p w14:paraId="673F54EB" w14:textId="2FF783FC" w:rsidR="00A6185E" w:rsidRPr="0071074A" w:rsidRDefault="00A6185E" w:rsidP="00A6185E">
            <w:r w:rsidRPr="0071074A">
              <w:t xml:space="preserve">10.Celebrate </w:t>
            </w:r>
            <w:sdt>
              <w:sdtPr>
                <w:id w:val="623811554"/>
                <w14:checkbox>
                  <w14:checked w14:val="0"/>
                  <w14:checkedState w14:val="2612" w14:font="MS Gothic"/>
                  <w14:uncheckedState w14:val="2610" w14:font="MS Gothic"/>
                </w14:checkbox>
              </w:sdtPr>
              <w:sdtEndPr/>
              <w:sdtContent>
                <w:r w:rsidRPr="0071074A">
                  <w:rPr>
                    <w:rFonts w:ascii="MS Gothic" w:eastAsia="MS Gothic" w:hAnsi="MS Gothic" w:hint="eastAsia"/>
                  </w:rPr>
                  <w:t>☐</w:t>
                </w:r>
              </w:sdtContent>
            </w:sdt>
          </w:p>
          <w:p w14:paraId="03A9B9B4" w14:textId="77777777" w:rsidR="00A6185E" w:rsidRPr="0071074A" w:rsidRDefault="00A6185E" w:rsidP="00A6185E"/>
        </w:tc>
        <w:tc>
          <w:tcPr>
            <w:tcW w:w="2234" w:type="dxa"/>
            <w:tcBorders>
              <w:top w:val="nil"/>
              <w:left w:val="single" w:sz="4" w:space="0" w:color="auto"/>
              <w:bottom w:val="nil"/>
              <w:right w:val="nil"/>
            </w:tcBorders>
          </w:tcPr>
          <w:p w14:paraId="2145EB4F" w14:textId="77777777" w:rsidR="00A6185E" w:rsidRPr="0071074A" w:rsidRDefault="00A6185E" w:rsidP="00A6185E"/>
        </w:tc>
        <w:tc>
          <w:tcPr>
            <w:tcW w:w="2172" w:type="dxa"/>
            <w:tcBorders>
              <w:top w:val="nil"/>
              <w:left w:val="nil"/>
              <w:bottom w:val="nil"/>
              <w:right w:val="nil"/>
            </w:tcBorders>
          </w:tcPr>
          <w:p w14:paraId="12610307" w14:textId="77777777" w:rsidR="00A6185E" w:rsidRPr="0071074A" w:rsidRDefault="00A6185E" w:rsidP="00A6185E"/>
        </w:tc>
        <w:tc>
          <w:tcPr>
            <w:tcW w:w="1973" w:type="dxa"/>
            <w:tcBorders>
              <w:top w:val="nil"/>
              <w:left w:val="nil"/>
              <w:bottom w:val="nil"/>
              <w:right w:val="nil"/>
            </w:tcBorders>
          </w:tcPr>
          <w:p w14:paraId="2EBDE867" w14:textId="77777777" w:rsidR="00A6185E" w:rsidRPr="0071074A" w:rsidRDefault="00A6185E" w:rsidP="00A6185E">
            <w:pPr>
              <w:rPr>
                <w:rFonts w:eastAsiaTheme="minorEastAsia"/>
              </w:rPr>
            </w:pPr>
          </w:p>
        </w:tc>
      </w:tr>
    </w:tbl>
    <w:p w14:paraId="0DD57F95" w14:textId="77777777" w:rsidR="00FD61F7" w:rsidRPr="0071074A" w:rsidRDefault="00FD61F7" w:rsidP="00FD61F7">
      <w:pPr>
        <w:jc w:val="both"/>
        <w:rPr>
          <w:rFonts w:ascii="Calibri" w:eastAsia="Calibri" w:hAnsi="Calibri" w:cs="Calibri"/>
          <w:lang w:val="en-GB"/>
        </w:rPr>
      </w:pPr>
    </w:p>
    <w:p w14:paraId="1189CFD7" w14:textId="77777777" w:rsidR="00FD61F7" w:rsidRPr="0071074A" w:rsidRDefault="00FD61F7" w:rsidP="00B7725E">
      <w:pPr>
        <w:jc w:val="both"/>
        <w:rPr>
          <w:rFonts w:ascii="Calibri" w:eastAsia="Calibri" w:hAnsi="Calibri" w:cs="Calibri"/>
          <w:lang w:val="en-GB"/>
        </w:rPr>
      </w:pPr>
    </w:p>
    <w:p w14:paraId="2B2B881B" w14:textId="77777777" w:rsidR="00FD61F7" w:rsidRPr="0071074A" w:rsidRDefault="00FD61F7" w:rsidP="00C711F9">
      <w:pPr>
        <w:jc w:val="both"/>
        <w:rPr>
          <w:rFonts w:ascii="Calibri" w:eastAsia="Calibri" w:hAnsi="Calibri" w:cs="Calibri"/>
          <w:lang w:val="en-GB"/>
        </w:rPr>
      </w:pPr>
    </w:p>
    <w:p w14:paraId="39A1765F" w14:textId="77777777" w:rsidR="00A6185E" w:rsidRPr="0071074A" w:rsidRDefault="00A6185E" w:rsidP="00C711F9">
      <w:pPr>
        <w:jc w:val="both"/>
        <w:rPr>
          <w:rFonts w:ascii="Calibri" w:eastAsia="Calibri" w:hAnsi="Calibri" w:cs="Calibri"/>
          <w:lang w:val="en-GB"/>
        </w:rPr>
      </w:pPr>
    </w:p>
    <w:p w14:paraId="397B7D90" w14:textId="77777777" w:rsidR="0090029B" w:rsidRPr="0071074A"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rsidRPr="0071074A" w14:paraId="4B50D7CE" w14:textId="77777777" w:rsidTr="319F9C17">
        <w:trPr>
          <w:trHeight w:val="300"/>
        </w:trPr>
        <w:tc>
          <w:tcPr>
            <w:tcW w:w="2977" w:type="dxa"/>
            <w:shd w:val="clear" w:color="auto" w:fill="F2F2F2" w:themeFill="background1" w:themeFillShade="F2"/>
            <w:tcMar>
              <w:left w:w="105" w:type="dxa"/>
              <w:right w:w="105" w:type="dxa"/>
            </w:tcMar>
          </w:tcPr>
          <w:p w14:paraId="7D77F55A" w14:textId="0EDB42CF" w:rsidR="006D7A70" w:rsidRPr="0071074A" w:rsidRDefault="7569BE73" w:rsidP="0370C70B">
            <w:pPr>
              <w:pStyle w:val="ListParagraph"/>
              <w:numPr>
                <w:ilvl w:val="0"/>
                <w:numId w:val="9"/>
              </w:numPr>
              <w:rPr>
                <w:rFonts w:eastAsiaTheme="minorEastAsia"/>
                <w:b/>
                <w:bCs/>
              </w:rPr>
            </w:pPr>
            <w:r w:rsidRPr="0071074A">
              <w:rPr>
                <w:rFonts w:eastAsiaTheme="minorEastAsia"/>
                <w:b/>
                <w:bCs/>
              </w:rPr>
              <w:t>Project Rationale</w:t>
            </w:r>
            <w:r w:rsidR="26EB611F" w:rsidRPr="0071074A">
              <w:rPr>
                <w:rFonts w:eastAsiaTheme="minorEastAsia"/>
                <w:b/>
                <w:bCs/>
              </w:rPr>
              <w:t xml:space="preserve"> </w:t>
            </w:r>
          </w:p>
        </w:tc>
        <w:tc>
          <w:tcPr>
            <w:tcW w:w="7513" w:type="dxa"/>
            <w:tcMar>
              <w:left w:w="105" w:type="dxa"/>
              <w:right w:w="105" w:type="dxa"/>
            </w:tcMar>
          </w:tcPr>
          <w:p w14:paraId="3D1D9ACD" w14:textId="5CF86EBE" w:rsidR="006D7A70" w:rsidRPr="0071074A" w:rsidRDefault="0ED92CDD" w:rsidP="0370C70B">
            <w:pPr>
              <w:spacing w:line="259" w:lineRule="auto"/>
              <w:rPr>
                <w:rFonts w:ascii="Calibri" w:eastAsia="Calibri" w:hAnsi="Calibri" w:cs="Calibri"/>
              </w:rPr>
            </w:pPr>
            <w:r w:rsidRPr="0071074A">
              <w:rPr>
                <w:rFonts w:ascii="Calibri" w:eastAsia="Calibri" w:hAnsi="Calibri" w:cs="Calibri"/>
              </w:rPr>
              <w:t>The Royal College of Surgeons in Ireland is committed to the provision of a centrally located Changing Places toilet at 118 St Stephen’s Green. This facility will not only meet statutory planning requirements but will also meaningfully enhance accessibility across the city-centre campus and support the delivery of inclusive, dignified amenities in the heart of Dublin.</w:t>
            </w:r>
          </w:p>
          <w:p w14:paraId="13319B1E" w14:textId="1E39027B" w:rsidR="006D7A70" w:rsidRPr="0071074A" w:rsidRDefault="006D7A70" w:rsidP="0370C70B">
            <w:pPr>
              <w:spacing w:line="259" w:lineRule="auto"/>
              <w:rPr>
                <w:rFonts w:eastAsiaTheme="minorEastAsia"/>
                <w:color w:val="3B3838" w:themeColor="background2" w:themeShade="40"/>
                <w:lang w:val="en-IE"/>
              </w:rPr>
            </w:pPr>
          </w:p>
        </w:tc>
      </w:tr>
      <w:tr w:rsidR="006D7A70" w:rsidRPr="0071074A" w14:paraId="6D9813A9" w14:textId="77777777" w:rsidTr="319F9C17">
        <w:trPr>
          <w:trHeight w:val="300"/>
        </w:trPr>
        <w:tc>
          <w:tcPr>
            <w:tcW w:w="2977" w:type="dxa"/>
            <w:shd w:val="clear" w:color="auto" w:fill="F2F2F2" w:themeFill="background1" w:themeFillShade="F2"/>
            <w:tcMar>
              <w:left w:w="105" w:type="dxa"/>
              <w:right w:w="105" w:type="dxa"/>
            </w:tcMar>
          </w:tcPr>
          <w:p w14:paraId="4E78DC8A" w14:textId="4D5B794B" w:rsidR="006D7A70" w:rsidRPr="0071074A" w:rsidRDefault="006D7A70" w:rsidP="00016534">
            <w:pPr>
              <w:pStyle w:val="ListParagraph"/>
              <w:numPr>
                <w:ilvl w:val="0"/>
                <w:numId w:val="9"/>
              </w:numPr>
              <w:rPr>
                <w:rFonts w:eastAsiaTheme="minorEastAsia"/>
                <w:b/>
                <w:bCs/>
              </w:rPr>
            </w:pPr>
            <w:r w:rsidRPr="0071074A">
              <w:rPr>
                <w:rFonts w:eastAsiaTheme="minorEastAsia"/>
                <w:b/>
                <w:bCs/>
              </w:rPr>
              <w:t xml:space="preserve">Aims and Objectives </w:t>
            </w:r>
          </w:p>
        </w:tc>
        <w:tc>
          <w:tcPr>
            <w:tcW w:w="7513" w:type="dxa"/>
            <w:tcMar>
              <w:left w:w="105" w:type="dxa"/>
              <w:right w:w="105" w:type="dxa"/>
            </w:tcMar>
          </w:tcPr>
          <w:p w14:paraId="208FADF1" w14:textId="274F6BAD"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 xml:space="preserve">To deliver a Changing Places facility that meets all relevant statutory requirements, technical standards, and best practice guidance for accessibility and universal design. </w:t>
            </w:r>
          </w:p>
          <w:p w14:paraId="16C3C8D9" w14:textId="5C326AF3"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 xml:space="preserve">To provide appropriate, dignified, and safe facilities that support people with complex care needs to participate more fully in everyday life, including activities such as family outings, shopping, and attendance at cultural or social events. </w:t>
            </w:r>
          </w:p>
          <w:p w14:paraId="41D738BA" w14:textId="10F60952"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 xml:space="preserve">To support individuals with profound and multiple disabilities, along with their carers, by providing adequate space, specialist equipment, and safe, hygienic conditions. </w:t>
            </w:r>
          </w:p>
          <w:p w14:paraId="79C0F4E3" w14:textId="3132A70F"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 xml:space="preserve">To enhance the overall accessibility of the Royal College of Surgeons in Ireland city-centre campus, ensuring it is inclusive and welcoming to all users, including students, staff, and visitors. </w:t>
            </w:r>
          </w:p>
          <w:p w14:paraId="0E404CE3" w14:textId="369CEF36"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 xml:space="preserve">To ensure that, while the facility is located within 118 St Stephen’s Green—which also accommodates the Humanarium exhibition space and café—it operates as a wider University resource and is not restricted to Humanarium opening hours. </w:t>
            </w:r>
          </w:p>
          <w:p w14:paraId="1135B371" w14:textId="1CF2C957"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 xml:space="preserve">To contribute to the wider provision of inclusive public infrastructure within Dublin, addressing the recognised need for centrally located Changing Places facilities. </w:t>
            </w:r>
          </w:p>
          <w:p w14:paraId="3A9E5A7C" w14:textId="65D44B87" w:rsidR="006D7A70" w:rsidRPr="0071074A" w:rsidRDefault="1A39A599" w:rsidP="1D8B666C">
            <w:pPr>
              <w:pStyle w:val="ListParagraph"/>
              <w:numPr>
                <w:ilvl w:val="0"/>
                <w:numId w:val="3"/>
              </w:numPr>
              <w:rPr>
                <w:rFonts w:ascii="Calibri" w:eastAsia="Calibri" w:hAnsi="Calibri" w:cs="Calibri"/>
                <w:lang w:val="en-IE"/>
              </w:rPr>
            </w:pPr>
            <w:r w:rsidRPr="0071074A">
              <w:rPr>
                <w:rFonts w:ascii="Calibri" w:eastAsia="Calibri" w:hAnsi="Calibri" w:cs="Calibri"/>
                <w:lang w:val="en-IE"/>
              </w:rPr>
              <w:t>To promote dignity, equality, and independence by enabling users to remain in the city centre for longer periods without barriers to essential personal care.</w:t>
            </w:r>
          </w:p>
          <w:p w14:paraId="0DB1806A" w14:textId="77777777" w:rsidR="006D7A70" w:rsidRPr="0071074A" w:rsidRDefault="006D7A70" w:rsidP="006D7A70">
            <w:pPr>
              <w:rPr>
                <w:rFonts w:eastAsiaTheme="minorEastAsia"/>
                <w:color w:val="000000" w:themeColor="text1"/>
                <w:lang w:val="en-IE"/>
              </w:rPr>
            </w:pPr>
          </w:p>
        </w:tc>
      </w:tr>
      <w:tr w:rsidR="006D7A70" w:rsidRPr="0071074A" w14:paraId="6DA27EDD" w14:textId="77777777" w:rsidTr="319F9C17">
        <w:trPr>
          <w:trHeight w:val="300"/>
        </w:trPr>
        <w:tc>
          <w:tcPr>
            <w:tcW w:w="2977" w:type="dxa"/>
            <w:shd w:val="clear" w:color="auto" w:fill="F2F2F2" w:themeFill="background1" w:themeFillShade="F2"/>
            <w:tcMar>
              <w:left w:w="105" w:type="dxa"/>
              <w:right w:w="105" w:type="dxa"/>
            </w:tcMar>
          </w:tcPr>
          <w:p w14:paraId="62392C9F" w14:textId="65BACB27" w:rsidR="006D7A70" w:rsidRPr="0071074A" w:rsidRDefault="25E909F4" w:rsidP="0370C70B">
            <w:pPr>
              <w:pStyle w:val="ListParagraph"/>
              <w:numPr>
                <w:ilvl w:val="0"/>
                <w:numId w:val="9"/>
              </w:numPr>
              <w:rPr>
                <w:rFonts w:eastAsiaTheme="minorEastAsia"/>
                <w:b/>
                <w:bCs/>
              </w:rPr>
            </w:pPr>
            <w:r w:rsidRPr="0071074A">
              <w:rPr>
                <w:rFonts w:eastAsiaTheme="minorEastAsia"/>
                <w:b/>
                <w:bCs/>
              </w:rPr>
              <w:t xml:space="preserve">Project </w:t>
            </w:r>
            <w:r w:rsidR="2F4EDE5D" w:rsidRPr="0071074A">
              <w:rPr>
                <w:rFonts w:eastAsiaTheme="minorEastAsia"/>
                <w:b/>
                <w:bCs/>
              </w:rPr>
              <w:t xml:space="preserve">Overview/ Summary </w:t>
            </w:r>
          </w:p>
          <w:p w14:paraId="2702A7DD" w14:textId="1FBA3AB7" w:rsidR="006D7A70" w:rsidRPr="0071074A" w:rsidRDefault="006D7A70" w:rsidP="0370C70B">
            <w:pPr>
              <w:spacing w:line="259" w:lineRule="auto"/>
              <w:rPr>
                <w:rFonts w:eastAsiaTheme="minorEastAsia"/>
                <w:b/>
                <w:bCs/>
              </w:rPr>
            </w:pPr>
          </w:p>
          <w:p w14:paraId="0D089A08" w14:textId="638CEA73" w:rsidR="006D7A70" w:rsidRPr="0071074A" w:rsidRDefault="006D7A70" w:rsidP="0370C70B">
            <w:pPr>
              <w:spacing w:line="259" w:lineRule="auto"/>
              <w:rPr>
                <w:rFonts w:eastAsiaTheme="minorEastAsia"/>
                <w:b/>
                <w:bCs/>
              </w:rPr>
            </w:pPr>
          </w:p>
        </w:tc>
        <w:tc>
          <w:tcPr>
            <w:tcW w:w="7513" w:type="dxa"/>
            <w:tcMar>
              <w:left w:w="105" w:type="dxa"/>
              <w:right w:w="105" w:type="dxa"/>
            </w:tcMar>
          </w:tcPr>
          <w:p w14:paraId="3CD6E56E" w14:textId="11CFF08E" w:rsidR="006D7A70" w:rsidRPr="0071074A" w:rsidRDefault="6BEE3EC4" w:rsidP="0370C70B">
            <w:pPr>
              <w:pStyle w:val="ListParagraph"/>
              <w:numPr>
                <w:ilvl w:val="0"/>
                <w:numId w:val="1"/>
              </w:numPr>
              <w:spacing w:before="240" w:after="240" w:line="259" w:lineRule="auto"/>
              <w:rPr>
                <w:rFonts w:ascii="Calibri" w:eastAsia="Calibri" w:hAnsi="Calibri" w:cs="Calibri"/>
                <w:lang w:val="en-IE"/>
              </w:rPr>
            </w:pPr>
            <w:r w:rsidRPr="0071074A">
              <w:rPr>
                <w:rFonts w:ascii="Calibri" w:eastAsia="Calibri" w:hAnsi="Calibri" w:cs="Calibri"/>
                <w:lang w:val="en-IE"/>
              </w:rPr>
              <w:t>The provision of a Changing Places facility forms part of the overall development of the new seven-storey, c.13,000 sq.m building at 118 St Stephen’s Green, developed by the Royal College of Surgeons in Ireland as a key component of its city-centre campus. The building accommodates students, staff, and researchers and has been designed to support a modern, inclusive academic environment.</w:t>
            </w:r>
          </w:p>
          <w:p w14:paraId="007B39DF" w14:textId="6248DEDE" w:rsidR="006D7A70" w:rsidRPr="0071074A" w:rsidRDefault="6BEE3EC4" w:rsidP="0370C70B">
            <w:pPr>
              <w:pStyle w:val="ListParagraph"/>
              <w:numPr>
                <w:ilvl w:val="0"/>
                <w:numId w:val="1"/>
              </w:numPr>
              <w:spacing w:before="240" w:after="240" w:line="259" w:lineRule="auto"/>
              <w:rPr>
                <w:rFonts w:ascii="Calibri" w:eastAsia="Calibri" w:hAnsi="Calibri" w:cs="Calibri"/>
                <w:lang w:val="en-IE"/>
              </w:rPr>
            </w:pPr>
            <w:r w:rsidRPr="0071074A">
              <w:rPr>
                <w:rFonts w:ascii="Calibri" w:eastAsia="Calibri" w:hAnsi="Calibri" w:cs="Calibri"/>
                <w:lang w:val="en-IE"/>
              </w:rPr>
              <w:t>From the outset, the project design team placed a strong emphasis on Universal Design principles, ensuring that accessibility and inclusivity are embedded throughout the building. This approach is reflected in the incorporation of key provisions such as the Changing Places facility, alongside additional supports including expressing rooms and dedicated mindfulness spaces.</w:t>
            </w:r>
          </w:p>
          <w:p w14:paraId="2C3D1AB6" w14:textId="7AEBC05E" w:rsidR="006D7A70" w:rsidRPr="0071074A" w:rsidRDefault="22942D28" w:rsidP="0370C70B">
            <w:pPr>
              <w:pStyle w:val="ListParagraph"/>
              <w:numPr>
                <w:ilvl w:val="0"/>
                <w:numId w:val="1"/>
              </w:numPr>
              <w:spacing w:before="240" w:after="240" w:line="259" w:lineRule="auto"/>
              <w:rPr>
                <w:rFonts w:ascii="Calibri" w:eastAsia="Calibri" w:hAnsi="Calibri" w:cs="Calibri"/>
                <w:lang w:val="en-IE"/>
              </w:rPr>
            </w:pPr>
            <w:r w:rsidRPr="0071074A">
              <w:rPr>
                <w:rFonts w:ascii="Calibri" w:eastAsia="Calibri" w:hAnsi="Calibri" w:cs="Calibri"/>
                <w:lang w:val="en-IE"/>
              </w:rPr>
              <w:lastRenderedPageBreak/>
              <w:t>A Changing Places toilet is a specialist accessible sanitary facility designed to meet the needs of people with a range of disabilities who may require assistance. It typically includes a height-adjustable adult-sized changing bench, ceiling-mounted hoist system, accessible toilet, washbasin, all within a layout that allows sufficient space for carers and safe manoeuvring.</w:t>
            </w:r>
          </w:p>
          <w:p w14:paraId="287B7C04" w14:textId="1FD13785" w:rsidR="006D7A70" w:rsidRPr="0071074A" w:rsidRDefault="6BEE3EC4" w:rsidP="0370C70B">
            <w:pPr>
              <w:pStyle w:val="ListParagraph"/>
              <w:numPr>
                <w:ilvl w:val="0"/>
                <w:numId w:val="1"/>
              </w:numPr>
              <w:spacing w:before="240" w:after="240" w:line="259" w:lineRule="auto"/>
              <w:rPr>
                <w:rFonts w:ascii="Calibri" w:eastAsia="Calibri" w:hAnsi="Calibri" w:cs="Calibri"/>
                <w:lang w:val="en-IE"/>
              </w:rPr>
            </w:pPr>
            <w:r w:rsidRPr="0071074A">
              <w:rPr>
                <w:rFonts w:ascii="Calibri" w:eastAsia="Calibri" w:hAnsi="Calibri" w:cs="Calibri"/>
                <w:lang w:val="en-IE"/>
              </w:rPr>
              <w:t>The facility is located at Level -1 within 118 St Stephen’s Green and represents one of the most centrally located Changing Places toilets in Dublin. It will be available seven days a week from 07:00 to 22:00, with limited exceptions (e.g. Christmas Day). While situated within a building that also houses the Humanarium exhibition space and café</w:t>
            </w:r>
            <w:r w:rsidR="66472A56" w:rsidRPr="0071074A">
              <w:rPr>
                <w:rFonts w:ascii="Calibri" w:eastAsia="Calibri" w:hAnsi="Calibri" w:cs="Calibri"/>
                <w:lang w:val="en-IE"/>
              </w:rPr>
              <w:t>.</w:t>
            </w:r>
          </w:p>
          <w:p w14:paraId="66DDB73C" w14:textId="4BA7B7EE" w:rsidR="006D7A70" w:rsidRPr="0071074A" w:rsidRDefault="6BEE3EC4" w:rsidP="0370C70B">
            <w:pPr>
              <w:pStyle w:val="ListParagraph"/>
              <w:numPr>
                <w:ilvl w:val="0"/>
                <w:numId w:val="1"/>
              </w:numPr>
              <w:spacing w:before="240" w:after="240" w:line="259" w:lineRule="auto"/>
              <w:rPr>
                <w:rFonts w:ascii="Calibri" w:eastAsia="Calibri" w:hAnsi="Calibri" w:cs="Calibri"/>
                <w:lang w:val="en-IE"/>
              </w:rPr>
            </w:pPr>
            <w:r w:rsidRPr="0071074A">
              <w:rPr>
                <w:rFonts w:ascii="Calibri" w:eastAsia="Calibri" w:hAnsi="Calibri" w:cs="Calibri"/>
                <w:lang w:val="en-IE"/>
              </w:rPr>
              <w:t>The project is currently in the final stages of registration with Changing Places Ireland. Upon completion of this process, the facility will be formally included on the national register, followed by an official opening.</w:t>
            </w:r>
          </w:p>
        </w:tc>
      </w:tr>
      <w:tr w:rsidR="006D7A70" w:rsidRPr="0071074A" w14:paraId="4D87ECDB" w14:textId="77777777" w:rsidTr="319F9C17">
        <w:trPr>
          <w:trHeight w:val="300"/>
        </w:trPr>
        <w:tc>
          <w:tcPr>
            <w:tcW w:w="2977" w:type="dxa"/>
            <w:shd w:val="clear" w:color="auto" w:fill="F2F2F2" w:themeFill="background1" w:themeFillShade="F2"/>
            <w:tcMar>
              <w:left w:w="105" w:type="dxa"/>
              <w:right w:w="105" w:type="dxa"/>
            </w:tcMar>
          </w:tcPr>
          <w:p w14:paraId="724E4DDB" w14:textId="0B2B05AE" w:rsidR="006D7A70" w:rsidRPr="0071074A" w:rsidRDefault="00E40416" w:rsidP="00E40416">
            <w:pPr>
              <w:pStyle w:val="ListParagraph"/>
              <w:numPr>
                <w:ilvl w:val="0"/>
                <w:numId w:val="9"/>
              </w:numPr>
              <w:rPr>
                <w:rFonts w:eastAsiaTheme="minorEastAsia"/>
                <w:b/>
                <w:bCs/>
                <w:color w:val="000000" w:themeColor="text1"/>
                <w:lang w:val="en-IE"/>
              </w:rPr>
            </w:pPr>
            <w:r w:rsidRPr="0071074A">
              <w:rPr>
                <w:rFonts w:eastAsiaTheme="minorEastAsia"/>
                <w:b/>
                <w:bCs/>
                <w:color w:val="000000" w:themeColor="text1"/>
                <w:lang w:val="en-IE"/>
              </w:rPr>
              <w:lastRenderedPageBreak/>
              <w:t>Collaboration</w:t>
            </w:r>
          </w:p>
        </w:tc>
        <w:tc>
          <w:tcPr>
            <w:tcW w:w="7513" w:type="dxa"/>
            <w:tcMar>
              <w:left w:w="105" w:type="dxa"/>
              <w:right w:w="105" w:type="dxa"/>
            </w:tcMar>
          </w:tcPr>
          <w:p w14:paraId="7D7A27DB" w14:textId="54E4298E" w:rsidR="006D7A70" w:rsidRPr="0071074A" w:rsidRDefault="2FFE8DA3" w:rsidP="1D8B666C">
            <w:pPr>
              <w:spacing w:before="240" w:after="240" w:line="259" w:lineRule="auto"/>
            </w:pPr>
            <w:r w:rsidRPr="0071074A">
              <w:rPr>
                <w:rFonts w:ascii="Calibri" w:eastAsia="Calibri" w:hAnsi="Calibri" w:cs="Calibri"/>
                <w:lang w:val="en-IE"/>
              </w:rPr>
              <w:t>The Royal College of Surgeons in Ireland is actively engaging with a range of accessibility stakeholders, both within Dublin and nationally, to support awareness and uptake of the new Changing Places facility at 118 St Stephen’s Green. This collaborative approach is intended to maximise the facility’s visibility and ensure it meets the needs of its intended users.</w:t>
            </w:r>
          </w:p>
          <w:p w14:paraId="4D5F95E3" w14:textId="1C7B6E78" w:rsidR="006D7A70" w:rsidRPr="0071074A" w:rsidRDefault="2FFE8DA3" w:rsidP="1D8B666C">
            <w:pPr>
              <w:spacing w:before="240" w:after="240" w:line="259" w:lineRule="auto"/>
            </w:pPr>
            <w:r w:rsidRPr="0071074A">
              <w:rPr>
                <w:rFonts w:ascii="Calibri" w:eastAsia="Calibri" w:hAnsi="Calibri" w:cs="Calibri"/>
                <w:lang w:val="en-IE"/>
              </w:rPr>
              <w:t>Engagement to date includes collaboration with accessibility advocates such as Vicki Casserly, alongside national tourism and development bodies including Fáilte Ireland, as well as local community groups and businesses. These partnerships are supporting targeted outreach and the dissemination of information to relevant user groups.</w:t>
            </w:r>
          </w:p>
          <w:p w14:paraId="6A7138D7" w14:textId="0418433E" w:rsidR="006D7A70" w:rsidRPr="0071074A" w:rsidRDefault="2FFE8DA3" w:rsidP="1D8B666C">
            <w:pPr>
              <w:spacing w:before="240" w:after="240" w:line="259" w:lineRule="auto"/>
            </w:pPr>
            <w:r w:rsidRPr="0071074A">
              <w:rPr>
                <w:rFonts w:ascii="Calibri" w:eastAsia="Calibri" w:hAnsi="Calibri" w:cs="Calibri"/>
                <w:lang w:val="en-IE"/>
              </w:rPr>
              <w:t>In addition, the Royal College of Surgeons in Ireland is working in conjunction with nearby cultural and entertainment venues, including the Gaiety Theatre, to align promotional activity with scheduled events and performances. This coordinated approach will help ensure that individuals attending cultural and social activities in the city centre are aware of, and can benefit from, the availability of the facility.</w:t>
            </w:r>
          </w:p>
        </w:tc>
      </w:tr>
      <w:tr w:rsidR="006D7A70" w:rsidRPr="0071074A" w14:paraId="33795CBD" w14:textId="77777777" w:rsidTr="319F9C17">
        <w:trPr>
          <w:trHeight w:val="300"/>
        </w:trPr>
        <w:tc>
          <w:tcPr>
            <w:tcW w:w="2977" w:type="dxa"/>
            <w:shd w:val="clear" w:color="auto" w:fill="F2F2F2" w:themeFill="background1" w:themeFillShade="F2"/>
            <w:tcMar>
              <w:left w:w="105" w:type="dxa"/>
              <w:right w:w="105" w:type="dxa"/>
            </w:tcMar>
          </w:tcPr>
          <w:p w14:paraId="6BF58664" w14:textId="4A74FD51" w:rsidR="006D7A70" w:rsidRPr="0071074A" w:rsidRDefault="00E40416" w:rsidP="006D7A70">
            <w:pPr>
              <w:pStyle w:val="ListParagraph"/>
              <w:numPr>
                <w:ilvl w:val="0"/>
                <w:numId w:val="9"/>
              </w:numPr>
              <w:rPr>
                <w:rFonts w:eastAsiaTheme="minorEastAsia"/>
                <w:b/>
                <w:bCs/>
              </w:rPr>
            </w:pPr>
            <w:r w:rsidRPr="0071074A">
              <w:rPr>
                <w:rFonts w:eastAsiaTheme="minorEastAsia"/>
                <w:b/>
                <w:bCs/>
              </w:rPr>
              <w:t>Resource Requirements</w:t>
            </w:r>
          </w:p>
        </w:tc>
        <w:tc>
          <w:tcPr>
            <w:tcW w:w="7513" w:type="dxa"/>
            <w:tcMar>
              <w:left w:w="105" w:type="dxa"/>
              <w:right w:w="105" w:type="dxa"/>
            </w:tcMar>
          </w:tcPr>
          <w:p w14:paraId="5EA5D335" w14:textId="71FE1682" w:rsidR="2B177293" w:rsidRPr="0071074A" w:rsidRDefault="2B177293" w:rsidP="1D8B666C">
            <w:pPr>
              <w:spacing w:line="259" w:lineRule="auto"/>
            </w:pPr>
            <w:r w:rsidRPr="0071074A">
              <w:rPr>
                <w:rFonts w:eastAsiaTheme="minorEastAsia"/>
                <w:lang w:val="en-IE"/>
              </w:rPr>
              <w:t xml:space="preserve">The delivery of this facility has been fully backed by RCSI Senior Management with commitment to the required space and budgetary fit out etc. </w:t>
            </w:r>
          </w:p>
          <w:p w14:paraId="39977763" w14:textId="2B419437" w:rsidR="006D7A70" w:rsidRPr="0071074A" w:rsidRDefault="006D7A70" w:rsidP="006D7A70">
            <w:pPr>
              <w:spacing w:line="259" w:lineRule="auto"/>
              <w:rPr>
                <w:rFonts w:eastAsiaTheme="minorEastAsia"/>
                <w:color w:val="3B3838" w:themeColor="background2" w:themeShade="40"/>
                <w:lang w:val="en-IE"/>
              </w:rPr>
            </w:pPr>
          </w:p>
        </w:tc>
      </w:tr>
      <w:tr w:rsidR="006D7A70" w:rsidRPr="0071074A" w14:paraId="028628C8" w14:textId="77777777" w:rsidTr="319F9C17">
        <w:trPr>
          <w:trHeight w:val="300"/>
        </w:trPr>
        <w:tc>
          <w:tcPr>
            <w:tcW w:w="2977" w:type="dxa"/>
            <w:shd w:val="clear" w:color="auto" w:fill="F2F2F2" w:themeFill="background1" w:themeFillShade="F2"/>
            <w:tcMar>
              <w:left w:w="105" w:type="dxa"/>
              <w:right w:w="105" w:type="dxa"/>
            </w:tcMar>
          </w:tcPr>
          <w:p w14:paraId="135E24E7" w14:textId="7E03B08A" w:rsidR="006D7A70" w:rsidRPr="0071074A" w:rsidRDefault="000B5345" w:rsidP="008E0403">
            <w:pPr>
              <w:pStyle w:val="ListParagraph"/>
              <w:numPr>
                <w:ilvl w:val="0"/>
                <w:numId w:val="9"/>
              </w:numPr>
              <w:rPr>
                <w:rFonts w:eastAsiaTheme="minorEastAsia"/>
                <w:b/>
                <w:bCs/>
              </w:rPr>
            </w:pPr>
            <w:r w:rsidRPr="0071074A">
              <w:rPr>
                <w:rFonts w:eastAsiaTheme="minorEastAsia"/>
                <w:b/>
                <w:bCs/>
              </w:rPr>
              <w:t>What are the next steps for the project?</w:t>
            </w:r>
            <w:r w:rsidR="006D7A70" w:rsidRPr="0071074A">
              <w:rPr>
                <w:rFonts w:eastAsiaTheme="minorEastAsia"/>
                <w:b/>
                <w:bCs/>
              </w:rPr>
              <w:t xml:space="preserve"> </w:t>
            </w:r>
          </w:p>
          <w:p w14:paraId="49CC987B" w14:textId="01A12A94" w:rsidR="006D7A70" w:rsidRPr="0071074A" w:rsidRDefault="006D7A70" w:rsidP="006D7A70">
            <w:pPr>
              <w:rPr>
                <w:rFonts w:eastAsiaTheme="minorEastAsia"/>
                <w:b/>
                <w:bCs/>
              </w:rPr>
            </w:pPr>
          </w:p>
        </w:tc>
        <w:tc>
          <w:tcPr>
            <w:tcW w:w="7513" w:type="dxa"/>
            <w:tcMar>
              <w:left w:w="105" w:type="dxa"/>
              <w:right w:w="105" w:type="dxa"/>
            </w:tcMar>
          </w:tcPr>
          <w:p w14:paraId="61B8B64A" w14:textId="72004528" w:rsidR="006D7A70" w:rsidRPr="0071074A" w:rsidRDefault="7D12468F" w:rsidP="1D8B666C">
            <w:pPr>
              <w:spacing w:line="259" w:lineRule="auto"/>
              <w:rPr>
                <w:rFonts w:ascii="Calibri" w:eastAsia="Calibri" w:hAnsi="Calibri" w:cs="Calibri"/>
                <w:i/>
                <w:iCs/>
                <w:color w:val="000000" w:themeColor="text1"/>
                <w:lang w:val="en-IE"/>
              </w:rPr>
            </w:pPr>
            <w:r w:rsidRPr="0071074A">
              <w:rPr>
                <w:rFonts w:eastAsiaTheme="minorEastAsia"/>
                <w:lang w:val="en-IE"/>
              </w:rPr>
              <w:t xml:space="preserve">Next steps are to finalise the registration process with Changing Places and continue to promote the availability of the facility. </w:t>
            </w:r>
          </w:p>
        </w:tc>
      </w:tr>
      <w:tr w:rsidR="006D7A70" w:rsidRPr="0071074A" w14:paraId="3D1D165A" w14:textId="77777777" w:rsidTr="319F9C17">
        <w:trPr>
          <w:trHeight w:val="300"/>
        </w:trPr>
        <w:tc>
          <w:tcPr>
            <w:tcW w:w="2977" w:type="dxa"/>
            <w:shd w:val="clear" w:color="auto" w:fill="F2F2F2" w:themeFill="background1" w:themeFillShade="F2"/>
            <w:tcMar>
              <w:left w:w="105" w:type="dxa"/>
              <w:right w:w="105" w:type="dxa"/>
            </w:tcMar>
          </w:tcPr>
          <w:p w14:paraId="456C10BB" w14:textId="7FEDEEA1" w:rsidR="006D7A70" w:rsidRPr="0071074A" w:rsidRDefault="25E909F4" w:rsidP="0370C70B">
            <w:pPr>
              <w:pStyle w:val="ListParagraph"/>
              <w:numPr>
                <w:ilvl w:val="0"/>
                <w:numId w:val="9"/>
              </w:numPr>
              <w:rPr>
                <w:rFonts w:eastAsiaTheme="minorEastAsia"/>
                <w:b/>
                <w:bCs/>
              </w:rPr>
            </w:pPr>
            <w:r w:rsidRPr="0071074A">
              <w:rPr>
                <w:rFonts w:eastAsiaTheme="minorEastAsia"/>
                <w:b/>
                <w:bCs/>
              </w:rPr>
              <w:t>Key Learning Points</w:t>
            </w:r>
          </w:p>
          <w:p w14:paraId="750C960A" w14:textId="690CE2F1" w:rsidR="006D7A70" w:rsidRPr="0071074A" w:rsidRDefault="006D7A70" w:rsidP="0370C70B">
            <w:pPr>
              <w:rPr>
                <w:rFonts w:eastAsiaTheme="minorEastAsia"/>
                <w:b/>
                <w:bCs/>
              </w:rPr>
            </w:pPr>
          </w:p>
        </w:tc>
        <w:tc>
          <w:tcPr>
            <w:tcW w:w="7513" w:type="dxa"/>
            <w:tcMar>
              <w:left w:w="105" w:type="dxa"/>
              <w:right w:w="105" w:type="dxa"/>
            </w:tcMar>
          </w:tcPr>
          <w:p w14:paraId="4BD95942" w14:textId="77777777"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 xml:space="preserve">The development and delivery of the Changing Places facility at 118 St Stephen’s Green </w:t>
            </w:r>
            <w:proofErr w:type="gramStart"/>
            <w:r w:rsidRPr="00361C84">
              <w:rPr>
                <w:rFonts w:ascii="Calibri" w:eastAsia="Calibri" w:hAnsi="Calibri" w:cs="Calibri"/>
                <w:b/>
                <w:bCs/>
              </w:rPr>
              <w:t>has</w:t>
            </w:r>
            <w:proofErr w:type="gramEnd"/>
            <w:r w:rsidRPr="00361C84">
              <w:rPr>
                <w:rFonts w:ascii="Calibri" w:eastAsia="Calibri" w:hAnsi="Calibri" w:cs="Calibri"/>
                <w:b/>
                <w:bCs/>
              </w:rPr>
              <w:t xml:space="preserve"> provided </w:t>
            </w:r>
            <w:proofErr w:type="gramStart"/>
            <w:r w:rsidRPr="00361C84">
              <w:rPr>
                <w:rFonts w:ascii="Calibri" w:eastAsia="Calibri" w:hAnsi="Calibri" w:cs="Calibri"/>
                <w:b/>
                <w:bCs/>
              </w:rPr>
              <w:t>a number of</w:t>
            </w:r>
            <w:proofErr w:type="gramEnd"/>
            <w:r w:rsidRPr="00361C84">
              <w:rPr>
                <w:rFonts w:ascii="Calibri" w:eastAsia="Calibri" w:hAnsi="Calibri" w:cs="Calibri"/>
                <w:b/>
                <w:bCs/>
              </w:rPr>
              <w:t xml:space="preserve"> important insights that may </w:t>
            </w:r>
            <w:r w:rsidRPr="00361C84">
              <w:rPr>
                <w:rFonts w:ascii="Calibri" w:eastAsia="Calibri" w:hAnsi="Calibri" w:cs="Calibri"/>
                <w:b/>
                <w:bCs/>
              </w:rPr>
              <w:lastRenderedPageBreak/>
              <w:t>inform future projects undertaken by the Royal College of Surgeons in Ireland and others:</w:t>
            </w:r>
          </w:p>
          <w:p w14:paraId="6C421A28" w14:textId="77777777"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 xml:space="preserve">Early integration of Universal Design: Embedding accessibility and Universal Design principles from the outset of the project was critical to ensuring that the Changing Places facility, along with other inclusive features, could be delivered effectively without retrofitting or compromise. </w:t>
            </w:r>
          </w:p>
          <w:p w14:paraId="3EF260ED" w14:textId="77777777"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 xml:space="preserve">Value of stakeholder engagement: Ongoing collaboration with accessibility groups, advocates, and end users has been essential in shaping the design, functionality, and promotion of the facility, ensuring it responds to real and practical needs. </w:t>
            </w:r>
          </w:p>
          <w:p w14:paraId="737D2941" w14:textId="7E787A6A"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 xml:space="preserve">Importance of central location: Locating the facility within a highly accessible, city-centre setting enhances its usability and impact, supporting broader participation in education, work, and social and cultural activities within Dublin. </w:t>
            </w:r>
          </w:p>
          <w:p w14:paraId="23A4958E" w14:textId="77777777"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 xml:space="preserve">Operational considerations: Planning for extended opening hours, clear access arrangements, and integration within overall building management is key to ensuring the facility is reliable, usable, and genuinely accessible to the public. </w:t>
            </w:r>
          </w:p>
          <w:p w14:paraId="7C0A34A3" w14:textId="77777777"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 xml:space="preserve">Awareness and visibility: The effectiveness of such facilities is closely linked to awareness. Proactive communication and partnerships with local organisations and venues are essential to ensure that potential users know the facility exists and how to access it. </w:t>
            </w:r>
          </w:p>
          <w:p w14:paraId="2E923911" w14:textId="77777777" w:rsidR="00361C84" w:rsidRPr="00361C84" w:rsidRDefault="00361C84" w:rsidP="00361C84">
            <w:pPr>
              <w:pStyle w:val="ListParagraph"/>
              <w:numPr>
                <w:ilvl w:val="0"/>
                <w:numId w:val="2"/>
              </w:numPr>
              <w:spacing w:line="259" w:lineRule="auto"/>
              <w:rPr>
                <w:rFonts w:ascii="Calibri" w:eastAsia="Calibri" w:hAnsi="Calibri" w:cs="Calibri"/>
                <w:b/>
                <w:bCs/>
              </w:rPr>
            </w:pPr>
            <w:r w:rsidRPr="00361C84">
              <w:rPr>
                <w:rFonts w:ascii="Calibri" w:eastAsia="Calibri" w:hAnsi="Calibri" w:cs="Calibri"/>
                <w:b/>
                <w:bCs/>
              </w:rPr>
              <w:t>Beyond compliance: While the provision of the facility meets statutory planning requirements, the project demonstrates the added value of going beyond minimum compliance to deliver meaningful, dignity-led accessibility outcomes.</w:t>
            </w:r>
          </w:p>
          <w:p w14:paraId="07146E21" w14:textId="20F7AC77" w:rsidR="000B5345" w:rsidRPr="0071074A" w:rsidRDefault="000B5345" w:rsidP="0370C70B">
            <w:pPr>
              <w:spacing w:line="259" w:lineRule="auto"/>
              <w:rPr>
                <w:rFonts w:eastAsiaTheme="minorEastAsia"/>
                <w:color w:val="EE0000"/>
              </w:rPr>
            </w:pPr>
          </w:p>
        </w:tc>
      </w:tr>
      <w:tr w:rsidR="002532A0" w:rsidRPr="0071074A" w14:paraId="4CC91C35" w14:textId="77777777" w:rsidTr="319F9C17">
        <w:trPr>
          <w:trHeight w:val="300"/>
        </w:trPr>
        <w:tc>
          <w:tcPr>
            <w:tcW w:w="2977" w:type="dxa"/>
            <w:shd w:val="clear" w:color="auto" w:fill="F2F2F2" w:themeFill="background1" w:themeFillShade="F2"/>
            <w:tcMar>
              <w:left w:w="105" w:type="dxa"/>
              <w:right w:w="105" w:type="dxa"/>
            </w:tcMar>
          </w:tcPr>
          <w:p w14:paraId="21BE7B89" w14:textId="64DC351C" w:rsidR="002532A0" w:rsidRPr="0071074A" w:rsidRDefault="1EB85587" w:rsidP="0370C70B">
            <w:pPr>
              <w:pStyle w:val="ListParagraph"/>
              <w:numPr>
                <w:ilvl w:val="0"/>
                <w:numId w:val="9"/>
              </w:numPr>
              <w:rPr>
                <w:rFonts w:eastAsiaTheme="minorEastAsia"/>
                <w:b/>
                <w:bCs/>
              </w:rPr>
            </w:pPr>
            <w:r w:rsidRPr="0071074A">
              <w:rPr>
                <w:rFonts w:eastAsiaTheme="minorEastAsia"/>
                <w:b/>
                <w:bCs/>
              </w:rPr>
              <w:lastRenderedPageBreak/>
              <w:t>Images and Links</w:t>
            </w:r>
          </w:p>
        </w:tc>
        <w:tc>
          <w:tcPr>
            <w:tcW w:w="7513" w:type="dxa"/>
            <w:tcMar>
              <w:left w:w="105" w:type="dxa"/>
              <w:right w:w="105" w:type="dxa"/>
            </w:tcMar>
          </w:tcPr>
          <w:p w14:paraId="6BAFB7B6" w14:textId="17EC1145" w:rsidR="002532A0" w:rsidRPr="0071074A" w:rsidRDefault="002532A0" w:rsidP="006D7A70">
            <w:pPr>
              <w:rPr>
                <w:rFonts w:eastAsiaTheme="minorEastAsia"/>
                <w:i/>
                <w:iCs/>
                <w:color w:val="000000" w:themeColor="text1"/>
              </w:rPr>
            </w:pPr>
            <w:r w:rsidRPr="0071074A">
              <w:rPr>
                <w:rFonts w:eastAsiaTheme="minorEastAsia"/>
                <w:i/>
                <w:iCs/>
                <w:color w:val="000000" w:themeColor="text1"/>
              </w:rPr>
              <w:t xml:space="preserve">Please include </w:t>
            </w:r>
            <w:r w:rsidR="00D6347F" w:rsidRPr="0071074A">
              <w:rPr>
                <w:rFonts w:eastAsiaTheme="minorEastAsia"/>
                <w:i/>
                <w:iCs/>
                <w:color w:val="000000" w:themeColor="text1"/>
              </w:rPr>
              <w:t>1/2</w:t>
            </w:r>
            <w:r w:rsidRPr="0071074A">
              <w:rPr>
                <w:rFonts w:eastAsiaTheme="minorEastAsia"/>
                <w:i/>
                <w:iCs/>
                <w:color w:val="000000" w:themeColor="text1"/>
              </w:rPr>
              <w:t xml:space="preserve"> images related to the project, this can include document cover pages, logos, a picture of a team meeting etc.  </w:t>
            </w:r>
          </w:p>
          <w:p w14:paraId="7919CB81" w14:textId="7DACA4F6" w:rsidR="00F82287" w:rsidRPr="0071074A" w:rsidRDefault="2991D6AC" w:rsidP="5731DB16">
            <w:pPr>
              <w:rPr>
                <w:rFonts w:eastAsiaTheme="minorEastAsia"/>
                <w:i/>
                <w:iCs/>
                <w:color w:val="000000" w:themeColor="text1"/>
              </w:rPr>
            </w:pPr>
            <w:r w:rsidRPr="0071074A">
              <w:rPr>
                <w:noProof/>
              </w:rPr>
              <w:lastRenderedPageBreak/>
              <w:drawing>
                <wp:inline distT="0" distB="0" distL="0" distR="0" wp14:anchorId="11DCFBBE" wp14:editId="546B9C96">
                  <wp:extent cx="3476625" cy="4638675"/>
                  <wp:effectExtent l="0" t="0" r="0" b="0"/>
                  <wp:docPr id="4955238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23821" name="Picture 495523821"/>
                          <pic:cNvPicPr/>
                        </pic:nvPicPr>
                        <pic:blipFill>
                          <a:blip r:embed="rId18">
                            <a:extLst>
                              <a:ext uri="{28A0092B-C50C-407E-A947-70E740481C1C}">
                                <a14:useLocalDpi xmlns:a14="http://schemas.microsoft.com/office/drawing/2010/main"/>
                              </a:ext>
                            </a:extLst>
                          </a:blip>
                          <a:stretch>
                            <a:fillRect/>
                          </a:stretch>
                        </pic:blipFill>
                        <pic:spPr>
                          <a:xfrm>
                            <a:off x="0" y="0"/>
                            <a:ext cx="3476625" cy="4638675"/>
                          </a:xfrm>
                          <a:prstGeom prst="rect">
                            <a:avLst/>
                          </a:prstGeom>
                        </pic:spPr>
                      </pic:pic>
                    </a:graphicData>
                  </a:graphic>
                </wp:inline>
              </w:drawing>
            </w:r>
            <w:r w:rsidRPr="0071074A">
              <w:rPr>
                <w:noProof/>
              </w:rPr>
              <w:lastRenderedPageBreak/>
              <w:drawing>
                <wp:inline distT="0" distB="0" distL="0" distR="0" wp14:anchorId="09FCE25B" wp14:editId="5EB51F0E">
                  <wp:extent cx="3476625" cy="4638675"/>
                  <wp:effectExtent l="0" t="0" r="0" b="0"/>
                  <wp:docPr id="14825296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29671" name="Picture 1482529671"/>
                          <pic:cNvPicPr/>
                        </pic:nvPicPr>
                        <pic:blipFill>
                          <a:blip r:embed="rId19">
                            <a:extLst>
                              <a:ext uri="{28A0092B-C50C-407E-A947-70E740481C1C}">
                                <a14:useLocalDpi xmlns:a14="http://schemas.microsoft.com/office/drawing/2010/main"/>
                              </a:ext>
                            </a:extLst>
                          </a:blip>
                          <a:stretch>
                            <a:fillRect/>
                          </a:stretch>
                        </pic:blipFill>
                        <pic:spPr>
                          <a:xfrm>
                            <a:off x="0" y="0"/>
                            <a:ext cx="3476625" cy="4638675"/>
                          </a:xfrm>
                          <a:prstGeom prst="rect">
                            <a:avLst/>
                          </a:prstGeom>
                        </pic:spPr>
                      </pic:pic>
                    </a:graphicData>
                  </a:graphic>
                </wp:inline>
              </w:drawing>
            </w:r>
          </w:p>
          <w:p w14:paraId="1A2680BB" w14:textId="41974376" w:rsidR="5731DB16" w:rsidRPr="0071074A" w:rsidRDefault="5731DB16" w:rsidP="5731DB16">
            <w:pPr>
              <w:rPr>
                <w:rFonts w:eastAsiaTheme="minorEastAsia"/>
                <w:i/>
                <w:iCs/>
                <w:color w:val="000000" w:themeColor="text1"/>
              </w:rPr>
            </w:pPr>
          </w:p>
          <w:p w14:paraId="19329F98" w14:textId="712337D9" w:rsidR="1F11E84D" w:rsidRPr="0071074A" w:rsidRDefault="1F11E84D" w:rsidP="5731DB16">
            <w:pPr>
              <w:rPr>
                <w:rFonts w:eastAsiaTheme="minorEastAsia"/>
                <w:i/>
                <w:iCs/>
                <w:color w:val="000000" w:themeColor="text1"/>
              </w:rPr>
            </w:pPr>
            <w:r w:rsidRPr="0071074A">
              <w:rPr>
                <w:rFonts w:eastAsiaTheme="minorEastAsia"/>
                <w:i/>
                <w:iCs/>
                <w:color w:val="000000" w:themeColor="text1"/>
              </w:rPr>
              <w:t xml:space="preserve">This facility will be advertised on </w:t>
            </w:r>
            <w:hyperlink r:id="rId20">
              <w:r w:rsidRPr="0071074A">
                <w:rPr>
                  <w:rStyle w:val="Hyperlink"/>
                  <w:rFonts w:eastAsiaTheme="minorEastAsia"/>
                  <w:i/>
                  <w:iCs/>
                </w:rPr>
                <w:t>www.rcsi.com</w:t>
              </w:r>
            </w:hyperlink>
            <w:r w:rsidRPr="0071074A">
              <w:rPr>
                <w:rFonts w:eastAsiaTheme="minorEastAsia"/>
                <w:i/>
                <w:iCs/>
                <w:color w:val="000000" w:themeColor="text1"/>
              </w:rPr>
              <w:t xml:space="preserve"> </w:t>
            </w:r>
            <w:r w:rsidR="3B741C1B" w:rsidRPr="0071074A">
              <w:rPr>
                <w:rFonts w:eastAsiaTheme="minorEastAsia"/>
                <w:i/>
                <w:iCs/>
                <w:color w:val="000000" w:themeColor="text1"/>
              </w:rPr>
              <w:t xml:space="preserve">and </w:t>
            </w:r>
            <w:hyperlink r:id="rId21">
              <w:r w:rsidR="5D6B238C" w:rsidRPr="0071074A">
                <w:rPr>
                  <w:rStyle w:val="Hyperlink"/>
                  <w:rFonts w:ascii="Calibri" w:eastAsia="Calibri" w:hAnsi="Calibri" w:cs="Calibri"/>
                </w:rPr>
                <w:t>Changing Places Ireland – WeAllGottaGo</w:t>
              </w:r>
            </w:hyperlink>
            <w:r w:rsidR="5D6B238C" w:rsidRPr="0071074A">
              <w:rPr>
                <w:rFonts w:ascii="Calibri" w:eastAsia="Calibri" w:hAnsi="Calibri" w:cs="Calibri"/>
              </w:rPr>
              <w:t xml:space="preserve"> </w:t>
            </w:r>
            <w:r w:rsidRPr="0071074A">
              <w:rPr>
                <w:rFonts w:eastAsiaTheme="minorEastAsia"/>
                <w:i/>
                <w:iCs/>
                <w:color w:val="000000" w:themeColor="text1"/>
              </w:rPr>
              <w:t xml:space="preserve">once it is registered with </w:t>
            </w:r>
            <w:r w:rsidR="40F44B3F" w:rsidRPr="0071074A">
              <w:rPr>
                <w:rFonts w:eastAsiaTheme="minorEastAsia"/>
                <w:i/>
                <w:iCs/>
                <w:color w:val="000000" w:themeColor="text1"/>
              </w:rPr>
              <w:t>Changing Places Ireland</w:t>
            </w:r>
          </w:p>
          <w:p w14:paraId="58D87592" w14:textId="77777777" w:rsidR="00D6347F" w:rsidRPr="0071074A" w:rsidRDefault="00D6347F" w:rsidP="006D7A70">
            <w:pPr>
              <w:rPr>
                <w:rFonts w:eastAsiaTheme="minorEastAsia"/>
                <w:i/>
                <w:iCs/>
                <w:color w:val="000000" w:themeColor="text1"/>
              </w:rPr>
            </w:pPr>
          </w:p>
          <w:p w14:paraId="239601A0" w14:textId="77777777" w:rsidR="002532A0" w:rsidRPr="0071074A" w:rsidRDefault="002532A0" w:rsidP="006D7A70">
            <w:pPr>
              <w:rPr>
                <w:rFonts w:eastAsiaTheme="minorEastAsia"/>
                <w:i/>
                <w:iCs/>
                <w:color w:val="000000" w:themeColor="text1"/>
              </w:rPr>
            </w:pPr>
          </w:p>
        </w:tc>
      </w:tr>
    </w:tbl>
    <w:p w14:paraId="335130FE" w14:textId="77777777" w:rsidR="00D42CAE" w:rsidRPr="0071074A" w:rsidRDefault="00D42CAE" w:rsidP="00D42CAE">
      <w:pPr>
        <w:rPr>
          <w:rFonts w:eastAsiaTheme="minorEastAsia"/>
        </w:rPr>
      </w:pPr>
    </w:p>
    <w:p w14:paraId="70E4E488" w14:textId="77777777" w:rsidR="00D42CAE" w:rsidRPr="0071074A" w:rsidRDefault="00D42CAE" w:rsidP="00D42CAE">
      <w:pPr>
        <w:rPr>
          <w:rFonts w:eastAsiaTheme="minorEastAsia"/>
        </w:rPr>
      </w:pPr>
    </w:p>
    <w:p w14:paraId="2525E552" w14:textId="77777777" w:rsidR="00D42CAE" w:rsidRPr="0071074A" w:rsidRDefault="00D42CAE" w:rsidP="5731DB16">
      <w:pPr>
        <w:rPr>
          <w:rFonts w:eastAsiaTheme="minorEastAsia"/>
        </w:rPr>
      </w:pPr>
    </w:p>
    <w:p w14:paraId="35F52745" w14:textId="56DB08B6" w:rsidR="5731DB16" w:rsidRPr="0071074A" w:rsidRDefault="5731DB16" w:rsidP="5731DB16">
      <w:pPr>
        <w:rPr>
          <w:rFonts w:eastAsiaTheme="minorEastAsia"/>
        </w:rPr>
      </w:pPr>
    </w:p>
    <w:p w14:paraId="69717F8F" w14:textId="435F39C6" w:rsidR="5731DB16" w:rsidRPr="0071074A" w:rsidRDefault="5731DB16" w:rsidP="5731DB16">
      <w:pPr>
        <w:rPr>
          <w:rFonts w:eastAsiaTheme="minorEastAsia"/>
        </w:rPr>
      </w:pPr>
    </w:p>
    <w:p w14:paraId="2DD49B77" w14:textId="77777777" w:rsidR="00D42CAE" w:rsidRPr="0071074A" w:rsidRDefault="00D42CAE" w:rsidP="00D42CAE">
      <w:pPr>
        <w:rPr>
          <w:rFonts w:eastAsiaTheme="minorEastAsia"/>
        </w:rPr>
      </w:pPr>
    </w:p>
    <w:p w14:paraId="170DD26F" w14:textId="77777777" w:rsidR="00D42CAE" w:rsidRPr="0071074A" w:rsidRDefault="00D42CAE" w:rsidP="00D42CAE">
      <w:pPr>
        <w:rPr>
          <w:rFonts w:eastAsiaTheme="minorEastAsia"/>
        </w:rPr>
      </w:pPr>
    </w:p>
    <w:p w14:paraId="4D9CD2E4" w14:textId="77777777" w:rsidR="00D42CAE" w:rsidRPr="0071074A" w:rsidRDefault="00D42CAE" w:rsidP="00D42CAE">
      <w:pPr>
        <w:rPr>
          <w:rFonts w:eastAsiaTheme="minorEastAsia"/>
        </w:rPr>
      </w:pPr>
    </w:p>
    <w:p w14:paraId="5C091BC4" w14:textId="77777777" w:rsidR="00D42CAE" w:rsidRPr="0071074A"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rsidRPr="0071074A" w14:paraId="4F4CF2FB" w14:textId="77777777" w:rsidTr="0370C70B">
        <w:tc>
          <w:tcPr>
            <w:tcW w:w="10065" w:type="dxa"/>
            <w:gridSpan w:val="4"/>
            <w:shd w:val="clear" w:color="auto" w:fill="F2F2F2" w:themeFill="background1" w:themeFillShade="F2"/>
          </w:tcPr>
          <w:p w14:paraId="61A6991E" w14:textId="23F33CDD" w:rsidR="00D42CAE" w:rsidRPr="0071074A" w:rsidRDefault="00D42CAE" w:rsidP="002436A7">
            <w:pPr>
              <w:pStyle w:val="ListParagraph"/>
              <w:numPr>
                <w:ilvl w:val="0"/>
                <w:numId w:val="9"/>
              </w:numPr>
              <w:spacing w:line="288" w:lineRule="auto"/>
              <w:rPr>
                <w:rFonts w:eastAsia="Times New Roman"/>
                <w:b/>
                <w:bCs/>
                <w:color w:val="000000"/>
              </w:rPr>
            </w:pPr>
            <w:r w:rsidRPr="0071074A">
              <w:rPr>
                <w:rFonts w:eastAsia="Times New Roman"/>
                <w:b/>
                <w:bCs/>
                <w:color w:val="000000"/>
              </w:rPr>
              <w:lastRenderedPageBreak/>
              <w:t>Evaluation</w:t>
            </w:r>
          </w:p>
        </w:tc>
      </w:tr>
      <w:tr w:rsidR="00182F3C" w:rsidRPr="0071074A" w14:paraId="1B8946F5" w14:textId="77777777" w:rsidTr="0370C70B">
        <w:tc>
          <w:tcPr>
            <w:tcW w:w="10065" w:type="dxa"/>
            <w:gridSpan w:val="4"/>
            <w:shd w:val="clear" w:color="auto" w:fill="70AD47" w:themeFill="accent6"/>
          </w:tcPr>
          <w:p w14:paraId="2C05A209" w14:textId="77777777" w:rsidR="00182F3C" w:rsidRPr="0071074A" w:rsidRDefault="00182F3C" w:rsidP="005F194E">
            <w:pPr>
              <w:rPr>
                <w:rFonts w:eastAsia="Times New Roman"/>
                <w:b/>
                <w:bCs/>
                <w:color w:val="000000"/>
              </w:rPr>
            </w:pPr>
            <w:r w:rsidRPr="0071074A">
              <w:rPr>
                <w:rFonts w:eastAsia="Times New Roman"/>
                <w:b/>
                <w:bCs/>
                <w:color w:val="000000"/>
              </w:rPr>
              <w:t>How was the project evaluated?</w:t>
            </w:r>
          </w:p>
          <w:p w14:paraId="0F93289A" w14:textId="4552D6FF" w:rsidR="005F194E" w:rsidRPr="0071074A" w:rsidRDefault="00182F3C" w:rsidP="005F194E">
            <w:pPr>
              <w:spacing w:line="288" w:lineRule="auto"/>
              <w:rPr>
                <w:rFonts w:eastAsia="Times New Roman"/>
                <w:b/>
                <w:bCs/>
                <w:i/>
                <w:iCs/>
                <w:color w:val="000000"/>
              </w:rPr>
            </w:pPr>
            <w:r w:rsidRPr="0071074A">
              <w:rPr>
                <w:rFonts w:eastAsia="Times New Roman"/>
                <w:b/>
                <w:bCs/>
                <w:i/>
                <w:iCs/>
                <w:color w:val="000000"/>
              </w:rPr>
              <w:t>Please check the box(es) that apply regarding the type of evaluation and data collection method</w:t>
            </w:r>
          </w:p>
        </w:tc>
      </w:tr>
      <w:tr w:rsidR="00FA77A5" w:rsidRPr="0071074A" w14:paraId="641DFED9" w14:textId="77777777" w:rsidTr="0370C70B">
        <w:tc>
          <w:tcPr>
            <w:tcW w:w="10065" w:type="dxa"/>
            <w:gridSpan w:val="4"/>
          </w:tcPr>
          <w:p w14:paraId="2B7289D2" w14:textId="00A37BAB" w:rsidR="00FA77A5" w:rsidRPr="0071074A" w:rsidRDefault="223C9DCE" w:rsidP="0370C70B">
            <w:pPr>
              <w:spacing w:line="288" w:lineRule="auto"/>
              <w:rPr>
                <w:rFonts w:eastAsia="Times New Roman"/>
                <w:b/>
                <w:bCs/>
                <w:i/>
                <w:iCs/>
                <w:color w:val="000000"/>
              </w:rPr>
            </w:pPr>
            <w:r w:rsidRPr="0071074A">
              <w:rPr>
                <w:rFonts w:eastAsia="Times New Roman"/>
                <w:b/>
                <w:bCs/>
                <w:i/>
                <w:iCs/>
                <w:color w:val="000000" w:themeColor="text1"/>
              </w:rPr>
              <w:t>Type of Evaluation</w:t>
            </w:r>
          </w:p>
        </w:tc>
      </w:tr>
      <w:tr w:rsidR="005F194E" w:rsidRPr="0071074A" w14:paraId="7BEB66EF" w14:textId="77777777" w:rsidTr="0370C70B">
        <w:tc>
          <w:tcPr>
            <w:tcW w:w="2552" w:type="dxa"/>
          </w:tcPr>
          <w:p w14:paraId="5A7232E8" w14:textId="7CEB2371" w:rsidR="005F194E" w:rsidRPr="0071074A" w:rsidRDefault="5E15AA59" w:rsidP="0370C70B">
            <w:pPr>
              <w:spacing w:line="288" w:lineRule="auto"/>
              <w:rPr>
                <w:rFonts w:eastAsia="Times New Roman"/>
                <w:color w:val="000000"/>
              </w:rPr>
            </w:pPr>
            <w:r w:rsidRPr="0071074A">
              <w:rPr>
                <w:rFonts w:eastAsia="Times New Roman"/>
                <w:b/>
                <w:bCs/>
                <w:color w:val="000000" w:themeColor="text1"/>
              </w:rPr>
              <w:t>Formative Evaluation:</w:t>
            </w:r>
            <w:r w:rsidRPr="0071074A">
              <w:rPr>
                <w:rFonts w:eastAsia="Times New Roman"/>
                <w:color w:val="000000" w:themeColor="text1"/>
              </w:rPr>
              <w:t> </w:t>
            </w:r>
            <w:sdt>
              <w:sdtPr>
                <w:rPr>
                  <w:rFonts w:ascii="MS Gothic" w:eastAsia="MS Gothic" w:hAnsi="MS Gothic"/>
                </w:rPr>
                <w:id w:val="-1046612159"/>
                <w14:checkbox>
                  <w14:checked w14:val="0"/>
                  <w14:checkedState w14:val="2612" w14:font="MS Gothic"/>
                  <w14:uncheckedState w14:val="2610" w14:font="MS Gothic"/>
                </w14:checkbox>
              </w:sdtPr>
              <w:sdtEndPr/>
              <w:sdtContent>
                <w:r w:rsidR="1B89EE56" w:rsidRPr="0071074A">
                  <w:rPr>
                    <w:rFonts w:ascii="MS Gothic" w:eastAsia="MS Gothic" w:hAnsi="MS Gothic"/>
                  </w:rPr>
                  <w:t>☐</w:t>
                </w:r>
              </w:sdtContent>
            </w:sdt>
          </w:p>
          <w:p w14:paraId="6A17C605" w14:textId="77777777" w:rsidR="005F194E" w:rsidRPr="0071074A" w:rsidRDefault="5E15AA59" w:rsidP="0370C70B">
            <w:pPr>
              <w:spacing w:line="288" w:lineRule="auto"/>
              <w:rPr>
                <w:rFonts w:eastAsia="Times New Roman"/>
                <w:color w:val="000000"/>
              </w:rPr>
            </w:pPr>
            <w:r w:rsidRPr="0071074A">
              <w:rPr>
                <w:rFonts w:eastAsia="Times New Roman"/>
                <w:color w:val="000000" w:themeColor="text1"/>
                <w:sz w:val="20"/>
                <w:szCs w:val="20"/>
              </w:rPr>
              <w:t xml:space="preserve">Conducted </w:t>
            </w:r>
            <w:r w:rsidRPr="0071074A">
              <w:rPr>
                <w:rFonts w:eastAsia="Times New Roman"/>
                <w:i/>
                <w:iCs/>
                <w:color w:val="000000" w:themeColor="text1"/>
                <w:sz w:val="20"/>
                <w:szCs w:val="20"/>
              </w:rPr>
              <w:t>during</w:t>
            </w:r>
            <w:r w:rsidRPr="0071074A">
              <w:rPr>
                <w:rFonts w:eastAsia="Times New Roman"/>
                <w:color w:val="000000" w:themeColor="text1"/>
                <w:sz w:val="20"/>
                <w:szCs w:val="20"/>
              </w:rPr>
              <w:t> development or early implementation to make improvements to the program design</w:t>
            </w:r>
            <w:r w:rsidRPr="0071074A">
              <w:rPr>
                <w:rFonts w:eastAsia="Times New Roman"/>
                <w:color w:val="000000" w:themeColor="text1"/>
              </w:rPr>
              <w:t>.</w:t>
            </w:r>
          </w:p>
          <w:p w14:paraId="10D68CE0" w14:textId="77777777" w:rsidR="005F194E" w:rsidRPr="0071074A" w:rsidRDefault="005F194E" w:rsidP="0370C70B">
            <w:pPr>
              <w:rPr>
                <w:rFonts w:eastAsiaTheme="minorEastAsia"/>
              </w:rPr>
            </w:pPr>
          </w:p>
        </w:tc>
        <w:tc>
          <w:tcPr>
            <w:tcW w:w="2413" w:type="dxa"/>
          </w:tcPr>
          <w:p w14:paraId="1094BEF4" w14:textId="0505830A" w:rsidR="005F194E" w:rsidRPr="0071074A" w:rsidRDefault="5E15AA59" w:rsidP="0370C70B">
            <w:pPr>
              <w:spacing w:line="288" w:lineRule="auto"/>
              <w:rPr>
                <w:rFonts w:eastAsia="Times New Roman"/>
                <w:color w:val="000000"/>
              </w:rPr>
            </w:pPr>
            <w:r w:rsidRPr="0071074A">
              <w:rPr>
                <w:rFonts w:eastAsia="Times New Roman"/>
                <w:b/>
                <w:bCs/>
                <w:color w:val="000000" w:themeColor="text1"/>
              </w:rPr>
              <w:t>Process Evaluation:</w:t>
            </w:r>
            <w:r w:rsidRPr="0071074A">
              <w:rPr>
                <w:rFonts w:eastAsia="Times New Roman"/>
                <w:color w:val="000000" w:themeColor="text1"/>
              </w:rPr>
              <w:t> </w:t>
            </w:r>
            <w:sdt>
              <w:sdtPr>
                <w:rPr>
                  <w:rFonts w:ascii="MS Gothic" w:eastAsia="MS Gothic" w:hAnsi="MS Gothic"/>
                </w:rPr>
                <w:id w:val="-948542201"/>
                <w14:checkbox>
                  <w14:checked w14:val="0"/>
                  <w14:checkedState w14:val="2612" w14:font="MS Gothic"/>
                  <w14:uncheckedState w14:val="2610" w14:font="MS Gothic"/>
                </w14:checkbox>
              </w:sdtPr>
              <w:sdtEndPr/>
              <w:sdtContent>
                <w:r w:rsidR="1B89EE56" w:rsidRPr="0071074A">
                  <w:rPr>
                    <w:rFonts w:ascii="MS Gothic" w:eastAsia="MS Gothic" w:hAnsi="MS Gothic"/>
                  </w:rPr>
                  <w:t>☐</w:t>
                </w:r>
              </w:sdtContent>
            </w:sdt>
          </w:p>
          <w:p w14:paraId="11E71D8F" w14:textId="356E3F1A" w:rsidR="005F194E" w:rsidRPr="0071074A" w:rsidRDefault="5E15AA59" w:rsidP="0370C70B">
            <w:pPr>
              <w:rPr>
                <w:rFonts w:eastAsiaTheme="minorEastAsia"/>
                <w:sz w:val="20"/>
                <w:szCs w:val="20"/>
              </w:rPr>
            </w:pPr>
            <w:r w:rsidRPr="0071074A">
              <w:rPr>
                <w:rFonts w:eastAsia="Times New Roman"/>
                <w:color w:val="000000" w:themeColor="text1"/>
                <w:sz w:val="20"/>
                <w:szCs w:val="20"/>
              </w:rPr>
              <w:t xml:space="preserve">Assesses </w:t>
            </w:r>
            <w:r w:rsidRPr="0071074A">
              <w:rPr>
                <w:rFonts w:eastAsia="Times New Roman"/>
                <w:i/>
                <w:iCs/>
                <w:color w:val="000000" w:themeColor="text1"/>
                <w:sz w:val="20"/>
                <w:szCs w:val="20"/>
              </w:rPr>
              <w:t>how</w:t>
            </w:r>
            <w:r w:rsidRPr="0071074A">
              <w:rPr>
                <w:rFonts w:eastAsia="Times New Roman"/>
                <w:color w:val="000000" w:themeColor="text1"/>
                <w:sz w:val="20"/>
                <w:szCs w:val="20"/>
              </w:rPr>
              <w:t> the program is being implemented, including participation rates, quality of delivery, and whether it is reaching its target audience.</w:t>
            </w:r>
          </w:p>
        </w:tc>
        <w:tc>
          <w:tcPr>
            <w:tcW w:w="2407" w:type="dxa"/>
          </w:tcPr>
          <w:p w14:paraId="3C7C4E8C" w14:textId="41811514" w:rsidR="005F194E" w:rsidRPr="0071074A" w:rsidRDefault="5E15AA59" w:rsidP="0370C70B">
            <w:pPr>
              <w:spacing w:line="288" w:lineRule="auto"/>
              <w:rPr>
                <w:rFonts w:eastAsia="Times New Roman"/>
                <w:color w:val="000000"/>
              </w:rPr>
            </w:pPr>
            <w:r w:rsidRPr="0071074A">
              <w:rPr>
                <w:rFonts w:eastAsia="Times New Roman"/>
                <w:b/>
                <w:bCs/>
                <w:color w:val="000000" w:themeColor="text1"/>
              </w:rPr>
              <w:t>Outcome Evaluation:</w:t>
            </w:r>
            <w:r w:rsidRPr="0071074A">
              <w:rPr>
                <w:rFonts w:eastAsia="Times New Roman"/>
                <w:color w:val="000000" w:themeColor="text1"/>
              </w:rPr>
              <w:t> </w:t>
            </w:r>
            <w:sdt>
              <w:sdtPr>
                <w:rPr>
                  <w:rFonts w:ascii="MS Gothic" w:eastAsia="MS Gothic" w:hAnsi="MS Gothic"/>
                </w:rPr>
                <w:id w:val="2130810272"/>
                <w14:checkbox>
                  <w14:checked w14:val="0"/>
                  <w14:checkedState w14:val="2612" w14:font="MS Gothic"/>
                  <w14:uncheckedState w14:val="2610" w14:font="MS Gothic"/>
                </w14:checkbox>
              </w:sdtPr>
              <w:sdtEndPr/>
              <w:sdtContent>
                <w:r w:rsidR="1B89EE56" w:rsidRPr="0071074A">
                  <w:rPr>
                    <w:rFonts w:ascii="MS Gothic" w:eastAsia="MS Gothic" w:hAnsi="MS Gothic"/>
                  </w:rPr>
                  <w:t>☐</w:t>
                </w:r>
              </w:sdtContent>
            </w:sdt>
          </w:p>
          <w:p w14:paraId="07DE180C" w14:textId="77777777" w:rsidR="005F194E" w:rsidRPr="0071074A" w:rsidRDefault="5E15AA59" w:rsidP="0370C70B">
            <w:pPr>
              <w:spacing w:line="288" w:lineRule="auto"/>
              <w:rPr>
                <w:rFonts w:eastAsia="Times New Roman"/>
                <w:color w:val="000000"/>
                <w:sz w:val="20"/>
                <w:szCs w:val="20"/>
              </w:rPr>
            </w:pPr>
            <w:r w:rsidRPr="0071074A">
              <w:rPr>
                <w:rFonts w:eastAsia="Times New Roman"/>
                <w:color w:val="000000" w:themeColor="text1"/>
                <w:sz w:val="20"/>
                <w:szCs w:val="20"/>
              </w:rPr>
              <w:t xml:space="preserve">Focuses on the </w:t>
            </w:r>
            <w:r w:rsidRPr="0071074A">
              <w:rPr>
                <w:rFonts w:eastAsia="Times New Roman"/>
                <w:i/>
                <w:iCs/>
                <w:color w:val="000000" w:themeColor="text1"/>
                <w:sz w:val="20"/>
                <w:szCs w:val="20"/>
              </w:rPr>
              <w:t>results</w:t>
            </w:r>
            <w:r w:rsidRPr="0071074A">
              <w:rPr>
                <w:rFonts w:eastAsia="Times New Roman"/>
                <w:color w:val="000000" w:themeColor="text1"/>
                <w:sz w:val="20"/>
                <w:szCs w:val="20"/>
              </w:rPr>
              <w:t>—the changes in behaviors, attitudes, or conditions—at the end of a project.</w:t>
            </w:r>
          </w:p>
          <w:p w14:paraId="6A65A28E" w14:textId="77777777" w:rsidR="005F194E" w:rsidRPr="0071074A" w:rsidRDefault="005F194E" w:rsidP="0370C70B">
            <w:pPr>
              <w:rPr>
                <w:rFonts w:eastAsiaTheme="minorEastAsia"/>
              </w:rPr>
            </w:pPr>
          </w:p>
        </w:tc>
        <w:tc>
          <w:tcPr>
            <w:tcW w:w="2693" w:type="dxa"/>
          </w:tcPr>
          <w:p w14:paraId="0F0C7D16" w14:textId="2CF1CBB0" w:rsidR="005F194E" w:rsidRPr="0071074A" w:rsidRDefault="040DA2AC" w:rsidP="0370C70B">
            <w:pPr>
              <w:spacing w:line="288" w:lineRule="auto"/>
              <w:rPr>
                <w:rFonts w:eastAsia="Times New Roman"/>
                <w:color w:val="000000"/>
              </w:rPr>
            </w:pPr>
            <w:r w:rsidRPr="0071074A">
              <w:rPr>
                <w:rFonts w:eastAsia="Times New Roman"/>
                <w:b/>
                <w:bCs/>
                <w:color w:val="000000" w:themeColor="text1"/>
              </w:rPr>
              <w:t>Summative Evaluation:</w:t>
            </w:r>
            <w:r w:rsidR="11E576C7" w:rsidRPr="0071074A">
              <w:t xml:space="preserve"> </w:t>
            </w:r>
            <w:sdt>
              <w:sdtPr>
                <w:rPr>
                  <w:rFonts w:ascii="MS Gothic" w:eastAsia="MS Gothic" w:hAnsi="MS Gothic" w:cs="MS Gothic"/>
                </w:rPr>
                <w:id w:val="539253777"/>
                <w14:checkbox>
                  <w14:checked w14:val="1"/>
                  <w14:checkedState w14:val="2612" w14:font="MS Gothic"/>
                  <w14:uncheckedState w14:val="2610" w14:font="MS Gothic"/>
                </w14:checkbox>
              </w:sdtPr>
              <w:sdtEndPr/>
              <w:sdtContent>
                <w:r w:rsidR="0C5F86A4" w:rsidRPr="0071074A">
                  <w:rPr>
                    <w:rFonts w:ascii="MS Gothic" w:eastAsia="MS Gothic" w:hAnsi="MS Gothic" w:cs="MS Gothic"/>
                  </w:rPr>
                  <w:t>☒</w:t>
                </w:r>
              </w:sdtContent>
            </w:sdt>
          </w:p>
          <w:p w14:paraId="6D276CE3" w14:textId="77777777" w:rsidR="005F194E" w:rsidRPr="0071074A" w:rsidRDefault="5E15AA59" w:rsidP="0370C70B">
            <w:pPr>
              <w:spacing w:line="288" w:lineRule="auto"/>
              <w:rPr>
                <w:rFonts w:eastAsia="Times New Roman"/>
                <w:color w:val="000000"/>
                <w:sz w:val="20"/>
                <w:szCs w:val="20"/>
              </w:rPr>
            </w:pPr>
            <w:r w:rsidRPr="0071074A">
              <w:rPr>
                <w:rFonts w:eastAsia="Times New Roman"/>
                <w:color w:val="000000" w:themeColor="text1"/>
                <w:sz w:val="20"/>
                <w:szCs w:val="20"/>
              </w:rPr>
              <w:t xml:space="preserve">Assesses the </w:t>
            </w:r>
            <w:r w:rsidRPr="0071074A">
              <w:rPr>
                <w:rFonts w:eastAsia="Times New Roman"/>
                <w:i/>
                <w:iCs/>
                <w:color w:val="000000" w:themeColor="text1"/>
                <w:sz w:val="20"/>
                <w:szCs w:val="20"/>
              </w:rPr>
              <w:t>overall effectiveness</w:t>
            </w:r>
            <w:r w:rsidRPr="0071074A">
              <w:rPr>
                <w:rFonts w:eastAsia="Times New Roman"/>
                <w:color w:val="000000" w:themeColor="text1"/>
                <w:sz w:val="20"/>
                <w:szCs w:val="20"/>
              </w:rPr>
              <w:t> of a program after its completion to determine if it achieved its intended goals.</w:t>
            </w:r>
          </w:p>
          <w:p w14:paraId="581A16D9" w14:textId="77777777" w:rsidR="005F194E" w:rsidRPr="0071074A" w:rsidRDefault="005F194E" w:rsidP="0370C70B">
            <w:pPr>
              <w:rPr>
                <w:rFonts w:eastAsiaTheme="minorEastAsia"/>
              </w:rPr>
            </w:pPr>
          </w:p>
        </w:tc>
      </w:tr>
      <w:tr w:rsidR="00DD5607" w:rsidRPr="0071074A" w14:paraId="518147DE" w14:textId="77777777" w:rsidTr="0370C70B">
        <w:tc>
          <w:tcPr>
            <w:tcW w:w="10065" w:type="dxa"/>
            <w:gridSpan w:val="4"/>
          </w:tcPr>
          <w:p w14:paraId="36F0DDFF" w14:textId="71750DC2" w:rsidR="00DD5607" w:rsidRPr="0071074A" w:rsidRDefault="00DD5607" w:rsidP="00D42CAE">
            <w:pPr>
              <w:spacing w:line="288" w:lineRule="auto"/>
              <w:rPr>
                <w:rFonts w:eastAsia="Times New Roman"/>
                <w:b/>
                <w:bCs/>
                <w:i/>
                <w:iCs/>
                <w:color w:val="000000"/>
              </w:rPr>
            </w:pPr>
            <w:r w:rsidRPr="0071074A">
              <w:rPr>
                <w:rFonts w:eastAsia="Times New Roman"/>
                <w:b/>
                <w:bCs/>
                <w:i/>
                <w:iCs/>
                <w:color w:val="000000"/>
              </w:rPr>
              <w:t>Data Collection Method</w:t>
            </w:r>
          </w:p>
        </w:tc>
      </w:tr>
      <w:tr w:rsidR="005F194E" w:rsidRPr="0071074A" w14:paraId="245C6C8C" w14:textId="77777777" w:rsidTr="0370C70B">
        <w:tc>
          <w:tcPr>
            <w:tcW w:w="2552" w:type="dxa"/>
          </w:tcPr>
          <w:p w14:paraId="76E2B22B" w14:textId="5E88124F" w:rsidR="005F194E" w:rsidRPr="0071074A" w:rsidRDefault="005F194E" w:rsidP="00D42CAE">
            <w:pPr>
              <w:spacing w:line="288" w:lineRule="auto"/>
              <w:rPr>
                <w:rFonts w:eastAsia="Times New Roman"/>
                <w:b/>
                <w:bCs/>
                <w:color w:val="000000"/>
              </w:rPr>
            </w:pPr>
            <w:r w:rsidRPr="0071074A">
              <w:rPr>
                <w:rFonts w:eastAsia="Times New Roman"/>
                <w:color w:val="000000"/>
              </w:rPr>
              <w:t>Survey/Questionnaire</w:t>
            </w:r>
            <w:r w:rsidR="00266C07" w:rsidRPr="0071074A">
              <w:t xml:space="preserve"> </w:t>
            </w:r>
            <w:sdt>
              <w:sdtPr>
                <w:id w:val="-2088763610"/>
                <w14:checkbox>
                  <w14:checked w14:val="0"/>
                  <w14:checkedState w14:val="2612" w14:font="MS Gothic"/>
                  <w14:uncheckedState w14:val="2610" w14:font="MS Gothic"/>
                </w14:checkbox>
              </w:sdtPr>
              <w:sdtEndPr/>
              <w:sdtContent>
                <w:r w:rsidR="00266C07" w:rsidRPr="0071074A">
                  <w:rPr>
                    <w:rFonts w:ascii="MS Gothic" w:eastAsia="MS Gothic" w:hAnsi="MS Gothic" w:hint="eastAsia"/>
                  </w:rPr>
                  <w:t>☐</w:t>
                </w:r>
              </w:sdtContent>
            </w:sdt>
            <w:r w:rsidRPr="0071074A">
              <w:rPr>
                <w:rFonts w:eastAsia="Times New Roman"/>
                <w:b/>
                <w:bCs/>
                <w:color w:val="000000"/>
              </w:rPr>
              <w:t xml:space="preserve">   </w:t>
            </w:r>
          </w:p>
          <w:p w14:paraId="3342F28F" w14:textId="77777777" w:rsidR="005F194E" w:rsidRPr="0071074A" w:rsidRDefault="005F194E" w:rsidP="00D42CAE">
            <w:pPr>
              <w:spacing w:line="288" w:lineRule="auto"/>
              <w:rPr>
                <w:rFonts w:eastAsia="Times New Roman"/>
                <w:color w:val="000000"/>
              </w:rPr>
            </w:pPr>
          </w:p>
          <w:p w14:paraId="71DA05A5" w14:textId="1BB6E9E8" w:rsidR="005F194E" w:rsidRPr="0071074A" w:rsidRDefault="3C68C860" w:rsidP="00D42CAE">
            <w:pPr>
              <w:spacing w:line="288" w:lineRule="auto"/>
              <w:rPr>
                <w:rFonts w:eastAsia="Times New Roman"/>
                <w:b/>
                <w:bCs/>
                <w:color w:val="000000"/>
              </w:rPr>
            </w:pPr>
            <w:r w:rsidRPr="0071074A">
              <w:rPr>
                <w:rFonts w:eastAsia="Times New Roman"/>
                <w:color w:val="000000" w:themeColor="text1"/>
              </w:rPr>
              <w:t xml:space="preserve">Document Review </w:t>
            </w:r>
            <w:sdt>
              <w:sdtPr>
                <w:id w:val="538784836"/>
                <w14:checkbox>
                  <w14:checked w14:val="1"/>
                  <w14:checkedState w14:val="2612" w14:font="MS Gothic"/>
                  <w14:uncheckedState w14:val="2610" w14:font="MS Gothic"/>
                </w14:checkbox>
              </w:sdtPr>
              <w:sdtEndPr/>
              <w:sdtContent>
                <w:r w:rsidR="101C2463" w:rsidRPr="0071074A">
                  <w:rPr>
                    <w:rFonts w:ascii="MS Gothic" w:eastAsia="MS Gothic" w:hAnsi="MS Gothic" w:cs="MS Gothic"/>
                  </w:rPr>
                  <w:t>☒</w:t>
                </w:r>
              </w:sdtContent>
            </w:sdt>
            <w:r w:rsidR="389C9D90" w:rsidRPr="0071074A">
              <w:rPr>
                <w:rFonts w:eastAsia="Times New Roman"/>
                <w:color w:val="000000" w:themeColor="text1"/>
              </w:rPr>
              <w:t xml:space="preserve"> </w:t>
            </w:r>
            <w:r w:rsidRPr="0071074A">
              <w:rPr>
                <w:rFonts w:eastAsia="Times New Roman"/>
                <w:color w:val="000000" w:themeColor="text1"/>
              </w:rPr>
              <w:t xml:space="preserve">(project reports, financial data, attendance logs, etc.)                                                                                        </w:t>
            </w:r>
          </w:p>
          <w:p w14:paraId="27BD2A93" w14:textId="77777777" w:rsidR="005F194E" w:rsidRPr="0071074A" w:rsidRDefault="005F194E" w:rsidP="00D42CAE">
            <w:pPr>
              <w:spacing w:line="288" w:lineRule="auto"/>
              <w:rPr>
                <w:rFonts w:eastAsia="Times New Roman"/>
                <w:color w:val="000000"/>
              </w:rPr>
            </w:pPr>
          </w:p>
          <w:p w14:paraId="54177138" w14:textId="068A75E0" w:rsidR="005F194E" w:rsidRPr="0071074A" w:rsidRDefault="005F194E" w:rsidP="00D42CAE">
            <w:pPr>
              <w:spacing w:line="288" w:lineRule="auto"/>
              <w:rPr>
                <w:rFonts w:eastAsia="Times New Roman"/>
                <w:b/>
                <w:bCs/>
                <w:color w:val="000000"/>
              </w:rPr>
            </w:pPr>
            <w:r w:rsidRPr="0071074A">
              <w:rPr>
                <w:rFonts w:eastAsia="Times New Roman"/>
                <w:color w:val="000000"/>
              </w:rPr>
              <w:t>Direct Observations</w:t>
            </w:r>
            <w:r w:rsidR="002436A7" w:rsidRPr="0071074A">
              <w:rPr>
                <w:rFonts w:eastAsia="Times New Roman"/>
                <w:color w:val="000000"/>
              </w:rPr>
              <w:t xml:space="preserve"> </w:t>
            </w:r>
            <w:sdt>
              <w:sdtPr>
                <w:id w:val="1170830166"/>
                <w14:checkbox>
                  <w14:checked w14:val="0"/>
                  <w14:checkedState w14:val="2612" w14:font="MS Gothic"/>
                  <w14:uncheckedState w14:val="2610" w14:font="MS Gothic"/>
                </w14:checkbox>
              </w:sdtPr>
              <w:sdtEndPr/>
              <w:sdtContent>
                <w:r w:rsidR="002436A7" w:rsidRPr="0071074A">
                  <w:rPr>
                    <w:rFonts w:ascii="MS Gothic" w:eastAsia="MS Gothic" w:hAnsi="MS Gothic" w:hint="eastAsia"/>
                  </w:rPr>
                  <w:t>☐</w:t>
                </w:r>
              </w:sdtContent>
            </w:sdt>
          </w:p>
          <w:p w14:paraId="0D60B3EA" w14:textId="77777777" w:rsidR="005F194E" w:rsidRPr="0071074A" w:rsidRDefault="005F194E" w:rsidP="00D42CAE">
            <w:pPr>
              <w:spacing w:line="288" w:lineRule="auto"/>
              <w:rPr>
                <w:rFonts w:eastAsia="Times New Roman"/>
                <w:b/>
                <w:bCs/>
                <w:color w:val="000000"/>
              </w:rPr>
            </w:pPr>
          </w:p>
        </w:tc>
        <w:tc>
          <w:tcPr>
            <w:tcW w:w="2413" w:type="dxa"/>
          </w:tcPr>
          <w:p w14:paraId="2C736404" w14:textId="7CC95638" w:rsidR="005F194E" w:rsidRPr="0071074A" w:rsidRDefault="005F194E" w:rsidP="00D42CAE">
            <w:pPr>
              <w:spacing w:line="288" w:lineRule="auto"/>
              <w:rPr>
                <w:rFonts w:eastAsia="Times New Roman"/>
                <w:color w:val="000000"/>
              </w:rPr>
            </w:pPr>
            <w:r w:rsidRPr="0071074A">
              <w:rPr>
                <w:rFonts w:eastAsia="Times New Roman"/>
                <w:color w:val="000000"/>
              </w:rPr>
              <w:t>Focus Groups</w:t>
            </w:r>
            <w:r w:rsidR="002436A7" w:rsidRPr="0071074A">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sidRPr="0071074A">
                  <w:rPr>
                    <w:rFonts w:ascii="MS Gothic" w:eastAsia="MS Gothic" w:hAnsi="MS Gothic" w:hint="eastAsia"/>
                  </w:rPr>
                  <w:t>☐</w:t>
                </w:r>
              </w:sdtContent>
            </w:sdt>
          </w:p>
          <w:p w14:paraId="731A3DE5" w14:textId="77777777" w:rsidR="005F194E" w:rsidRPr="0071074A" w:rsidRDefault="005F194E" w:rsidP="00D42CAE">
            <w:pPr>
              <w:spacing w:line="288" w:lineRule="auto"/>
              <w:rPr>
                <w:rFonts w:eastAsia="Times New Roman"/>
                <w:color w:val="000000"/>
              </w:rPr>
            </w:pPr>
          </w:p>
          <w:p w14:paraId="61D0CB09" w14:textId="6BF97844" w:rsidR="005F194E" w:rsidRPr="0071074A" w:rsidRDefault="005F194E" w:rsidP="00D42CAE">
            <w:pPr>
              <w:spacing w:line="288" w:lineRule="auto"/>
              <w:rPr>
                <w:rFonts w:eastAsia="Times New Roman"/>
                <w:color w:val="000000"/>
              </w:rPr>
            </w:pPr>
            <w:r w:rsidRPr="0071074A">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sidRPr="0071074A">
                  <w:rPr>
                    <w:rFonts w:ascii="MS Gothic" w:eastAsia="MS Gothic" w:hAnsi="MS Gothic" w:hint="eastAsia"/>
                  </w:rPr>
                  <w:t>☐</w:t>
                </w:r>
              </w:sdtContent>
            </w:sdt>
          </w:p>
          <w:p w14:paraId="047FD0D5" w14:textId="77777777" w:rsidR="005F194E" w:rsidRPr="0071074A" w:rsidRDefault="005F194E" w:rsidP="00D42CAE">
            <w:pPr>
              <w:spacing w:line="288" w:lineRule="auto"/>
              <w:rPr>
                <w:rFonts w:eastAsia="Times New Roman"/>
                <w:color w:val="000000"/>
              </w:rPr>
            </w:pPr>
          </w:p>
          <w:p w14:paraId="220A1374" w14:textId="1241C9E1" w:rsidR="005F194E" w:rsidRPr="0071074A" w:rsidRDefault="005F194E" w:rsidP="00D42CAE">
            <w:pPr>
              <w:spacing w:line="288" w:lineRule="auto"/>
              <w:rPr>
                <w:rFonts w:eastAsia="Times New Roman"/>
                <w:color w:val="000000"/>
              </w:rPr>
            </w:pPr>
            <w:r w:rsidRPr="0071074A">
              <w:rPr>
                <w:rFonts w:eastAsia="Times New Roman"/>
                <w:color w:val="000000"/>
              </w:rPr>
              <w:t>Case Studies</w:t>
            </w:r>
            <w:r w:rsidR="002436A7" w:rsidRPr="0071074A">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sidRPr="0071074A">
                  <w:rPr>
                    <w:rFonts w:ascii="MS Gothic" w:eastAsia="MS Gothic" w:hAnsi="MS Gothic" w:hint="eastAsia"/>
                  </w:rPr>
                  <w:t>☐</w:t>
                </w:r>
              </w:sdtContent>
            </w:sdt>
          </w:p>
          <w:p w14:paraId="2E857021" w14:textId="77777777" w:rsidR="005F194E" w:rsidRPr="0071074A" w:rsidRDefault="005F194E" w:rsidP="00D42CAE">
            <w:pPr>
              <w:spacing w:line="288" w:lineRule="auto"/>
              <w:rPr>
                <w:rFonts w:eastAsia="Times New Roman"/>
                <w:color w:val="000000"/>
              </w:rPr>
            </w:pPr>
          </w:p>
          <w:p w14:paraId="7799144A" w14:textId="16526DBC" w:rsidR="005F194E" w:rsidRPr="0071074A" w:rsidRDefault="3C68C860" w:rsidP="00D42CAE">
            <w:pPr>
              <w:spacing w:line="288" w:lineRule="auto"/>
              <w:rPr>
                <w:rFonts w:eastAsia="Times New Roman"/>
                <w:color w:val="000000"/>
              </w:rPr>
            </w:pPr>
            <w:r w:rsidRPr="0071074A">
              <w:rPr>
                <w:rFonts w:eastAsia="Times New Roman"/>
                <w:color w:val="000000" w:themeColor="text1"/>
              </w:rPr>
              <w:t>Other</w:t>
            </w:r>
            <w:r w:rsidR="05D72AC4" w:rsidRPr="0071074A">
              <w:rPr>
                <w:rFonts w:eastAsia="Times New Roman"/>
                <w:color w:val="000000" w:themeColor="text1"/>
              </w:rPr>
              <w:t>: Though collaboration with Vicky Casserly and Failte Ireland</w:t>
            </w:r>
          </w:p>
          <w:p w14:paraId="51E2D42D" w14:textId="46AC6234" w:rsidR="005F194E" w:rsidRPr="0071074A" w:rsidRDefault="005F194E" w:rsidP="00D42CAE">
            <w:pPr>
              <w:spacing w:line="288" w:lineRule="auto"/>
              <w:rPr>
                <w:rFonts w:eastAsia="Times New Roman"/>
                <w:b/>
                <w:bCs/>
                <w:color w:val="000000"/>
              </w:rPr>
            </w:pPr>
            <w:r w:rsidRPr="0071074A">
              <w:rPr>
                <w:rFonts w:eastAsia="Times New Roman"/>
                <w:b/>
                <w:bCs/>
                <w:color w:val="000000"/>
              </w:rPr>
              <w:t xml:space="preserve">                                                                                                                                       </w:t>
            </w:r>
          </w:p>
        </w:tc>
        <w:tc>
          <w:tcPr>
            <w:tcW w:w="2407" w:type="dxa"/>
          </w:tcPr>
          <w:p w14:paraId="05F296B9" w14:textId="77777777" w:rsidR="005F194E" w:rsidRPr="0071074A" w:rsidRDefault="005F194E" w:rsidP="00D42CAE">
            <w:pPr>
              <w:spacing w:line="288" w:lineRule="auto"/>
              <w:rPr>
                <w:rFonts w:eastAsia="Times New Roman"/>
                <w:b/>
                <w:bCs/>
                <w:color w:val="000000"/>
              </w:rPr>
            </w:pPr>
          </w:p>
        </w:tc>
        <w:tc>
          <w:tcPr>
            <w:tcW w:w="2693" w:type="dxa"/>
          </w:tcPr>
          <w:p w14:paraId="468CD88D" w14:textId="77777777" w:rsidR="005F194E" w:rsidRPr="0071074A" w:rsidRDefault="005F194E" w:rsidP="00D42CAE">
            <w:pPr>
              <w:spacing w:line="288" w:lineRule="auto"/>
              <w:rPr>
                <w:rFonts w:eastAsia="Times New Roman"/>
                <w:b/>
                <w:bCs/>
                <w:color w:val="000000"/>
              </w:rPr>
            </w:pPr>
          </w:p>
        </w:tc>
      </w:tr>
      <w:tr w:rsidR="00A1586D" w:rsidRPr="0071074A" w14:paraId="7587FA4D" w14:textId="77777777" w:rsidTr="0370C70B">
        <w:tc>
          <w:tcPr>
            <w:tcW w:w="10065" w:type="dxa"/>
            <w:gridSpan w:val="4"/>
          </w:tcPr>
          <w:p w14:paraId="5D1B25DA" w14:textId="7079B049" w:rsidR="00A1586D" w:rsidRPr="0071074A" w:rsidRDefault="00A1586D" w:rsidP="00D42CAE">
            <w:pPr>
              <w:spacing w:line="288" w:lineRule="auto"/>
              <w:rPr>
                <w:rFonts w:eastAsia="Times New Roman"/>
                <w:b/>
                <w:bCs/>
                <w:i/>
                <w:iCs/>
                <w:color w:val="000000"/>
              </w:rPr>
            </w:pPr>
            <w:r w:rsidRPr="0071074A">
              <w:rPr>
                <w:rFonts w:eastAsia="Times New Roman"/>
                <w:b/>
                <w:bCs/>
                <w:i/>
                <w:iCs/>
                <w:color w:val="000000"/>
              </w:rPr>
              <w:t>High-Level Outcome</w:t>
            </w:r>
            <w:r w:rsidR="002311CF" w:rsidRPr="0071074A">
              <w:rPr>
                <w:rFonts w:eastAsia="Times New Roman"/>
                <w:b/>
                <w:bCs/>
                <w:i/>
                <w:iCs/>
                <w:color w:val="000000"/>
              </w:rPr>
              <w:t xml:space="preserve"> and</w:t>
            </w:r>
            <w:r w:rsidR="00B8246F" w:rsidRPr="0071074A">
              <w:rPr>
                <w:rFonts w:eastAsia="Times New Roman"/>
                <w:b/>
                <w:bCs/>
                <w:i/>
                <w:iCs/>
                <w:color w:val="000000"/>
              </w:rPr>
              <w:t xml:space="preserve"> </w:t>
            </w:r>
            <w:r w:rsidR="00E7581D" w:rsidRPr="0071074A">
              <w:rPr>
                <w:rFonts w:eastAsia="Times New Roman"/>
                <w:b/>
                <w:bCs/>
                <w:i/>
                <w:iCs/>
                <w:color w:val="000000"/>
              </w:rPr>
              <w:t>I</w:t>
            </w:r>
            <w:r w:rsidRPr="0071074A">
              <w:rPr>
                <w:rFonts w:eastAsia="Times New Roman"/>
                <w:b/>
                <w:bCs/>
                <w:i/>
                <w:iCs/>
                <w:color w:val="000000"/>
              </w:rPr>
              <w:t>mpact</w:t>
            </w:r>
          </w:p>
        </w:tc>
      </w:tr>
      <w:tr w:rsidR="00A1586D" w:rsidRPr="0071074A" w14:paraId="27CEC366" w14:textId="77777777" w:rsidTr="0370C70B">
        <w:tc>
          <w:tcPr>
            <w:tcW w:w="10065" w:type="dxa"/>
            <w:gridSpan w:val="4"/>
          </w:tcPr>
          <w:p w14:paraId="4A789ABB" w14:textId="77777777" w:rsidR="00A1586D" w:rsidRPr="0071074A" w:rsidRDefault="00E7581D" w:rsidP="00D42CAE">
            <w:pPr>
              <w:spacing w:line="288" w:lineRule="auto"/>
              <w:rPr>
                <w:rFonts w:eastAsia="Times New Roman"/>
                <w:i/>
                <w:iCs/>
                <w:color w:val="000000"/>
              </w:rPr>
            </w:pPr>
            <w:r w:rsidRPr="0071074A">
              <w:rPr>
                <w:rFonts w:eastAsia="Times New Roman"/>
                <w:i/>
                <w:iCs/>
                <w:color w:val="000000"/>
              </w:rPr>
              <w:t>Please include high-level outcomes and</w:t>
            </w:r>
            <w:r w:rsidR="00B8246F" w:rsidRPr="0071074A">
              <w:rPr>
                <w:rFonts w:eastAsia="Times New Roman"/>
                <w:i/>
                <w:iCs/>
                <w:color w:val="000000"/>
              </w:rPr>
              <w:t xml:space="preserve"> </w:t>
            </w:r>
            <w:r w:rsidRPr="0071074A">
              <w:rPr>
                <w:rFonts w:eastAsia="Times New Roman"/>
                <w:i/>
                <w:iCs/>
                <w:color w:val="000000"/>
              </w:rPr>
              <w:t>impact if not already covered in the summary above.</w:t>
            </w:r>
          </w:p>
          <w:p w14:paraId="606F459F" w14:textId="2D5303FF" w:rsidR="00534E0D" w:rsidRPr="0071074A" w:rsidRDefault="00534E0D" w:rsidP="00D42CAE">
            <w:pPr>
              <w:spacing w:line="288" w:lineRule="auto"/>
              <w:rPr>
                <w:rFonts w:eastAsia="Times New Roman"/>
                <w:i/>
                <w:iCs/>
                <w:color w:val="000000"/>
              </w:rPr>
            </w:pPr>
          </w:p>
        </w:tc>
      </w:tr>
    </w:tbl>
    <w:p w14:paraId="5A0D670A" w14:textId="77777777" w:rsidR="00105AD2" w:rsidRPr="0071074A" w:rsidRDefault="00105AD2" w:rsidP="4D76C2C4">
      <w:pPr>
        <w:rPr>
          <w:rFonts w:eastAsiaTheme="minorEastAsia"/>
        </w:rPr>
      </w:pPr>
    </w:p>
    <w:p w14:paraId="43A8EA0C" w14:textId="19E54421" w:rsidR="5731DB16" w:rsidRPr="0071074A" w:rsidRDefault="5731DB16" w:rsidP="5731DB16">
      <w:pPr>
        <w:rPr>
          <w:rFonts w:eastAsiaTheme="minorEastAsia"/>
        </w:rPr>
      </w:pPr>
    </w:p>
    <w:p w14:paraId="2BE13540" w14:textId="6207A414" w:rsidR="58A24372" w:rsidRPr="0071074A" w:rsidRDefault="58A24372" w:rsidP="00D6347F">
      <w:pPr>
        <w:pStyle w:val="ListParagraph"/>
        <w:numPr>
          <w:ilvl w:val="0"/>
          <w:numId w:val="9"/>
        </w:numPr>
        <w:rPr>
          <w:rFonts w:eastAsiaTheme="minorEastAsia"/>
          <w:b/>
          <w:bCs/>
        </w:rPr>
      </w:pPr>
      <w:r w:rsidRPr="0071074A">
        <w:rPr>
          <w:rFonts w:eastAsiaTheme="minorEastAsia"/>
          <w:b/>
          <w:bCs/>
        </w:rPr>
        <w:t>Contact Details</w:t>
      </w:r>
      <w:r w:rsidR="00D6347F" w:rsidRPr="0071074A">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rsidRPr="0071074A" w14:paraId="157B1DB6" w14:textId="77777777" w:rsidTr="5731DB16">
        <w:trPr>
          <w:trHeight w:val="300"/>
        </w:trPr>
        <w:tc>
          <w:tcPr>
            <w:tcW w:w="2059" w:type="dxa"/>
            <w:tcMar>
              <w:left w:w="105" w:type="dxa"/>
              <w:right w:w="105" w:type="dxa"/>
            </w:tcMar>
          </w:tcPr>
          <w:p w14:paraId="144C4BE8" w14:textId="7EC1199F" w:rsidR="58A24372" w:rsidRPr="0071074A" w:rsidRDefault="58A24372" w:rsidP="4D76C2C4">
            <w:pPr>
              <w:rPr>
                <w:rFonts w:eastAsiaTheme="minorEastAsia"/>
                <w:b/>
                <w:bCs/>
              </w:rPr>
            </w:pPr>
            <w:r w:rsidRPr="0071074A">
              <w:rPr>
                <w:rFonts w:eastAsiaTheme="minorEastAsia"/>
                <w:b/>
                <w:bCs/>
              </w:rPr>
              <w:t>Contact Name</w:t>
            </w:r>
            <w:r w:rsidR="006A77B1" w:rsidRPr="0071074A">
              <w:rPr>
                <w:rFonts w:eastAsiaTheme="minorEastAsia"/>
                <w:b/>
                <w:bCs/>
              </w:rPr>
              <w:t>/s</w:t>
            </w:r>
          </w:p>
        </w:tc>
        <w:tc>
          <w:tcPr>
            <w:tcW w:w="7301" w:type="dxa"/>
            <w:tcMar>
              <w:left w:w="105" w:type="dxa"/>
              <w:right w:w="105" w:type="dxa"/>
            </w:tcMar>
          </w:tcPr>
          <w:p w14:paraId="79A68121" w14:textId="77777777" w:rsidR="4D76C2C4" w:rsidRPr="0071074A" w:rsidRDefault="4D76C2C4" w:rsidP="4D76C2C4">
            <w:pPr>
              <w:spacing w:line="259" w:lineRule="auto"/>
              <w:rPr>
                <w:rFonts w:ascii="Calibri" w:eastAsia="Calibri" w:hAnsi="Calibri" w:cs="Calibri"/>
                <w:color w:val="000000" w:themeColor="text1"/>
                <w:lang w:val="en-IE"/>
              </w:rPr>
            </w:pPr>
          </w:p>
          <w:p w14:paraId="26A459B8" w14:textId="7BA48B9A" w:rsidR="006A77B1" w:rsidRPr="0071074A" w:rsidRDefault="60F16445" w:rsidP="4D76C2C4">
            <w:pPr>
              <w:spacing w:line="259" w:lineRule="auto"/>
              <w:rPr>
                <w:rFonts w:ascii="Calibri" w:eastAsia="Calibri" w:hAnsi="Calibri" w:cs="Calibri"/>
                <w:color w:val="000000" w:themeColor="text1"/>
                <w:lang w:val="en-IE"/>
              </w:rPr>
            </w:pPr>
            <w:r w:rsidRPr="0071074A">
              <w:rPr>
                <w:rFonts w:ascii="Calibri" w:eastAsia="Calibri" w:hAnsi="Calibri" w:cs="Calibri"/>
                <w:color w:val="000000" w:themeColor="text1"/>
                <w:lang w:val="en-IE"/>
              </w:rPr>
              <w:t>Collette Power</w:t>
            </w:r>
          </w:p>
        </w:tc>
      </w:tr>
      <w:tr w:rsidR="4D76C2C4" w:rsidRPr="0071074A" w14:paraId="18C413E6" w14:textId="77777777" w:rsidTr="5731DB16">
        <w:trPr>
          <w:trHeight w:val="300"/>
        </w:trPr>
        <w:tc>
          <w:tcPr>
            <w:tcW w:w="2059" w:type="dxa"/>
            <w:tcMar>
              <w:left w:w="105" w:type="dxa"/>
              <w:right w:w="105" w:type="dxa"/>
            </w:tcMar>
          </w:tcPr>
          <w:p w14:paraId="1785EAB2" w14:textId="674DD7F0" w:rsidR="2DDBD4D0" w:rsidRPr="0071074A" w:rsidRDefault="2DDBD4D0" w:rsidP="4D76C2C4">
            <w:pPr>
              <w:rPr>
                <w:rFonts w:eastAsiaTheme="minorEastAsia"/>
                <w:b/>
                <w:bCs/>
              </w:rPr>
            </w:pPr>
            <w:r w:rsidRPr="0071074A">
              <w:rPr>
                <w:rFonts w:eastAsiaTheme="minorEastAsia"/>
                <w:b/>
                <w:bCs/>
              </w:rPr>
              <w:t>Date</w:t>
            </w:r>
          </w:p>
        </w:tc>
        <w:tc>
          <w:tcPr>
            <w:tcW w:w="7301" w:type="dxa"/>
            <w:tcMar>
              <w:left w:w="105" w:type="dxa"/>
              <w:right w:w="105" w:type="dxa"/>
            </w:tcMar>
          </w:tcPr>
          <w:p w14:paraId="4AD6789D" w14:textId="77777777" w:rsidR="4D76C2C4" w:rsidRPr="0071074A" w:rsidRDefault="4D76C2C4" w:rsidP="4D76C2C4">
            <w:pPr>
              <w:spacing w:line="259" w:lineRule="auto"/>
              <w:rPr>
                <w:rFonts w:ascii="Calibri" w:eastAsia="Calibri" w:hAnsi="Calibri" w:cs="Calibri"/>
                <w:color w:val="000000" w:themeColor="text1"/>
                <w:lang w:val="en-IE"/>
              </w:rPr>
            </w:pPr>
          </w:p>
          <w:p w14:paraId="4A1B23DA" w14:textId="4D9489C8" w:rsidR="006A77B1" w:rsidRPr="0071074A" w:rsidRDefault="64411B70" w:rsidP="4D76C2C4">
            <w:pPr>
              <w:spacing w:line="259" w:lineRule="auto"/>
              <w:rPr>
                <w:rFonts w:ascii="Calibri" w:eastAsia="Calibri" w:hAnsi="Calibri" w:cs="Calibri"/>
                <w:color w:val="000000" w:themeColor="text1"/>
                <w:lang w:val="en-IE"/>
              </w:rPr>
            </w:pPr>
            <w:r w:rsidRPr="0071074A">
              <w:rPr>
                <w:rFonts w:ascii="Calibri" w:eastAsia="Calibri" w:hAnsi="Calibri" w:cs="Calibri"/>
                <w:color w:val="000000" w:themeColor="text1"/>
                <w:lang w:val="en-IE"/>
              </w:rPr>
              <w:t>31/03/2026</w:t>
            </w:r>
          </w:p>
        </w:tc>
      </w:tr>
      <w:tr w:rsidR="4D76C2C4" w14:paraId="5CE43459" w14:textId="77777777" w:rsidTr="5731DB16">
        <w:trPr>
          <w:trHeight w:val="300"/>
        </w:trPr>
        <w:tc>
          <w:tcPr>
            <w:tcW w:w="2059" w:type="dxa"/>
            <w:tcMar>
              <w:left w:w="105" w:type="dxa"/>
              <w:right w:w="105" w:type="dxa"/>
            </w:tcMar>
          </w:tcPr>
          <w:p w14:paraId="29D98A35" w14:textId="77777777" w:rsidR="58A24372" w:rsidRPr="0071074A" w:rsidRDefault="58A24372" w:rsidP="4D76C2C4">
            <w:pPr>
              <w:rPr>
                <w:rFonts w:eastAsiaTheme="minorEastAsia"/>
                <w:b/>
                <w:bCs/>
              </w:rPr>
            </w:pPr>
            <w:r w:rsidRPr="0071074A">
              <w:rPr>
                <w:rFonts w:eastAsiaTheme="minorEastAsia"/>
                <w:b/>
                <w:bCs/>
              </w:rPr>
              <w:t>Email Address</w:t>
            </w:r>
          </w:p>
          <w:p w14:paraId="24960703" w14:textId="5100E18C" w:rsidR="006A77B1" w:rsidRPr="0071074A" w:rsidRDefault="006A77B1" w:rsidP="4D76C2C4">
            <w:pPr>
              <w:rPr>
                <w:rFonts w:eastAsiaTheme="minorEastAsia"/>
                <w:b/>
                <w:bCs/>
              </w:rPr>
            </w:pPr>
          </w:p>
        </w:tc>
        <w:tc>
          <w:tcPr>
            <w:tcW w:w="7301" w:type="dxa"/>
            <w:tcMar>
              <w:left w:w="105" w:type="dxa"/>
              <w:right w:w="105" w:type="dxa"/>
            </w:tcMar>
          </w:tcPr>
          <w:p w14:paraId="4750C8F4" w14:textId="003959A7" w:rsidR="4D76C2C4" w:rsidRDefault="3DBE1942" w:rsidP="4D76C2C4">
            <w:pPr>
              <w:spacing w:line="259" w:lineRule="auto"/>
              <w:rPr>
                <w:rFonts w:ascii="Calibri" w:eastAsia="Calibri" w:hAnsi="Calibri" w:cs="Calibri"/>
                <w:color w:val="000000" w:themeColor="text1"/>
                <w:lang w:val="en-IE"/>
              </w:rPr>
            </w:pPr>
            <w:hyperlink r:id="rId22">
              <w:r w:rsidRPr="0071074A">
                <w:rPr>
                  <w:rStyle w:val="Hyperlink"/>
                  <w:rFonts w:ascii="Calibri" w:eastAsia="Calibri" w:hAnsi="Calibri" w:cs="Calibri"/>
                  <w:lang w:val="en-IE"/>
                </w:rPr>
                <w:t>collettepower@rcsi.com</w:t>
              </w:r>
            </w:hyperlink>
            <w:r w:rsidRPr="5731DB16">
              <w:rPr>
                <w:rFonts w:ascii="Calibri" w:eastAsia="Calibri" w:hAnsi="Calibri" w:cs="Calibri"/>
                <w:color w:val="000000" w:themeColor="text1"/>
                <w:lang w:val="en-IE"/>
              </w:rPr>
              <w:t xml:space="preserve"> </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C65D" w14:textId="77777777" w:rsidR="0093477E" w:rsidRDefault="0093477E" w:rsidP="00801E77">
      <w:pPr>
        <w:spacing w:after="0" w:line="240" w:lineRule="auto"/>
      </w:pPr>
      <w:r>
        <w:separator/>
      </w:r>
    </w:p>
  </w:endnote>
  <w:endnote w:type="continuationSeparator" w:id="0">
    <w:p w14:paraId="5031A108" w14:textId="77777777" w:rsidR="0093477E" w:rsidRDefault="0093477E" w:rsidP="00801E77">
      <w:pPr>
        <w:spacing w:after="0" w:line="240" w:lineRule="auto"/>
      </w:pPr>
      <w:r>
        <w:continuationSeparator/>
      </w:r>
    </w:p>
  </w:endnote>
  <w:endnote w:type="continuationNotice" w:id="1">
    <w:p w14:paraId="42724CEF" w14:textId="77777777" w:rsidR="0093477E" w:rsidRDefault="009347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A42C" w14:textId="77777777" w:rsidR="0093477E" w:rsidRDefault="0093477E" w:rsidP="00801E77">
      <w:pPr>
        <w:spacing w:after="0" w:line="240" w:lineRule="auto"/>
      </w:pPr>
      <w:r>
        <w:separator/>
      </w:r>
    </w:p>
  </w:footnote>
  <w:footnote w:type="continuationSeparator" w:id="0">
    <w:p w14:paraId="157248AF" w14:textId="77777777" w:rsidR="0093477E" w:rsidRDefault="0093477E" w:rsidP="00801E77">
      <w:pPr>
        <w:spacing w:after="0" w:line="240" w:lineRule="auto"/>
      </w:pPr>
      <w:r>
        <w:continuationSeparator/>
      </w:r>
    </w:p>
  </w:footnote>
  <w:footnote w:type="continuationNotice" w:id="1">
    <w:p w14:paraId="2CE76989" w14:textId="77777777" w:rsidR="0093477E" w:rsidRDefault="009347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s4h1yQ9kl9CTx" int2:id="mPmCb2iB">
      <int2:state int2:value="Rejected" int2:type="spell"/>
    </int2:textHash>
    <int2:textHash int2:hashCode="kByidkXaRxGvMx" int2:id="lH1GM98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FCA1F00"/>
    <w:multiLevelType w:val="hybridMultilevel"/>
    <w:tmpl w:val="BEB2291E"/>
    <w:lvl w:ilvl="0" w:tplc="E9CAAA24">
      <w:start w:val="1"/>
      <w:numFmt w:val="bullet"/>
      <w:lvlText w:val=""/>
      <w:lvlJc w:val="left"/>
      <w:pPr>
        <w:ind w:left="720" w:hanging="360"/>
      </w:pPr>
      <w:rPr>
        <w:rFonts w:ascii="Symbol" w:hAnsi="Symbol" w:hint="default"/>
      </w:rPr>
    </w:lvl>
    <w:lvl w:ilvl="1" w:tplc="D428B726">
      <w:start w:val="1"/>
      <w:numFmt w:val="bullet"/>
      <w:lvlText w:val="o"/>
      <w:lvlJc w:val="left"/>
      <w:pPr>
        <w:ind w:left="1440" w:hanging="360"/>
      </w:pPr>
      <w:rPr>
        <w:rFonts w:ascii="Courier New" w:hAnsi="Courier New" w:hint="default"/>
      </w:rPr>
    </w:lvl>
    <w:lvl w:ilvl="2" w:tplc="A2E49D24">
      <w:start w:val="1"/>
      <w:numFmt w:val="bullet"/>
      <w:lvlText w:val=""/>
      <w:lvlJc w:val="left"/>
      <w:pPr>
        <w:ind w:left="2160" w:hanging="360"/>
      </w:pPr>
      <w:rPr>
        <w:rFonts w:ascii="Wingdings" w:hAnsi="Wingdings" w:hint="default"/>
      </w:rPr>
    </w:lvl>
    <w:lvl w:ilvl="3" w:tplc="1766E656">
      <w:start w:val="1"/>
      <w:numFmt w:val="bullet"/>
      <w:lvlText w:val=""/>
      <w:lvlJc w:val="left"/>
      <w:pPr>
        <w:ind w:left="2880" w:hanging="360"/>
      </w:pPr>
      <w:rPr>
        <w:rFonts w:ascii="Symbol" w:hAnsi="Symbol" w:hint="default"/>
      </w:rPr>
    </w:lvl>
    <w:lvl w:ilvl="4" w:tplc="FC7CB6B8">
      <w:start w:val="1"/>
      <w:numFmt w:val="bullet"/>
      <w:lvlText w:val="o"/>
      <w:lvlJc w:val="left"/>
      <w:pPr>
        <w:ind w:left="3600" w:hanging="360"/>
      </w:pPr>
      <w:rPr>
        <w:rFonts w:ascii="Courier New" w:hAnsi="Courier New" w:hint="default"/>
      </w:rPr>
    </w:lvl>
    <w:lvl w:ilvl="5" w:tplc="38BE3AB4">
      <w:start w:val="1"/>
      <w:numFmt w:val="bullet"/>
      <w:lvlText w:val=""/>
      <w:lvlJc w:val="left"/>
      <w:pPr>
        <w:ind w:left="4320" w:hanging="360"/>
      </w:pPr>
      <w:rPr>
        <w:rFonts w:ascii="Wingdings" w:hAnsi="Wingdings" w:hint="default"/>
      </w:rPr>
    </w:lvl>
    <w:lvl w:ilvl="6" w:tplc="7D721D78">
      <w:start w:val="1"/>
      <w:numFmt w:val="bullet"/>
      <w:lvlText w:val=""/>
      <w:lvlJc w:val="left"/>
      <w:pPr>
        <w:ind w:left="5040" w:hanging="360"/>
      </w:pPr>
      <w:rPr>
        <w:rFonts w:ascii="Symbol" w:hAnsi="Symbol" w:hint="default"/>
      </w:rPr>
    </w:lvl>
    <w:lvl w:ilvl="7" w:tplc="CB18E208">
      <w:start w:val="1"/>
      <w:numFmt w:val="bullet"/>
      <w:lvlText w:val="o"/>
      <w:lvlJc w:val="left"/>
      <w:pPr>
        <w:ind w:left="5760" w:hanging="360"/>
      </w:pPr>
      <w:rPr>
        <w:rFonts w:ascii="Courier New" w:hAnsi="Courier New" w:hint="default"/>
      </w:rPr>
    </w:lvl>
    <w:lvl w:ilvl="8" w:tplc="11427012">
      <w:start w:val="1"/>
      <w:numFmt w:val="bullet"/>
      <w:lvlText w:val=""/>
      <w:lvlJc w:val="left"/>
      <w:pPr>
        <w:ind w:left="6480" w:hanging="360"/>
      </w:pPr>
      <w:rPr>
        <w:rFonts w:ascii="Wingdings" w:hAnsi="Wingdings" w:hint="default"/>
      </w:rPr>
    </w:lvl>
  </w:abstractNum>
  <w:abstractNum w:abstractNumId="5"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6" w15:restartNumberingAfterBreak="0">
    <w:nsid w:val="64E568ED"/>
    <w:multiLevelType w:val="hybridMultilevel"/>
    <w:tmpl w:val="5B764DFA"/>
    <w:lvl w:ilvl="0" w:tplc="FD567B80">
      <w:start w:val="1"/>
      <w:numFmt w:val="bullet"/>
      <w:lvlText w:val=""/>
      <w:lvlJc w:val="left"/>
      <w:pPr>
        <w:ind w:left="720" w:hanging="360"/>
      </w:pPr>
      <w:rPr>
        <w:rFonts w:ascii="Symbol" w:hAnsi="Symbol" w:hint="default"/>
      </w:rPr>
    </w:lvl>
    <w:lvl w:ilvl="1" w:tplc="5E741038">
      <w:start w:val="1"/>
      <w:numFmt w:val="bullet"/>
      <w:lvlText w:val="o"/>
      <w:lvlJc w:val="left"/>
      <w:pPr>
        <w:ind w:left="1440" w:hanging="360"/>
      </w:pPr>
      <w:rPr>
        <w:rFonts w:ascii="Courier New" w:hAnsi="Courier New" w:hint="default"/>
      </w:rPr>
    </w:lvl>
    <w:lvl w:ilvl="2" w:tplc="B7BC5A76">
      <w:start w:val="1"/>
      <w:numFmt w:val="bullet"/>
      <w:lvlText w:val=""/>
      <w:lvlJc w:val="left"/>
      <w:pPr>
        <w:ind w:left="2160" w:hanging="360"/>
      </w:pPr>
      <w:rPr>
        <w:rFonts w:ascii="Wingdings" w:hAnsi="Wingdings" w:hint="default"/>
      </w:rPr>
    </w:lvl>
    <w:lvl w:ilvl="3" w:tplc="F8FEAEE6">
      <w:start w:val="1"/>
      <w:numFmt w:val="bullet"/>
      <w:lvlText w:val=""/>
      <w:lvlJc w:val="left"/>
      <w:pPr>
        <w:ind w:left="2880" w:hanging="360"/>
      </w:pPr>
      <w:rPr>
        <w:rFonts w:ascii="Symbol" w:hAnsi="Symbol" w:hint="default"/>
      </w:rPr>
    </w:lvl>
    <w:lvl w:ilvl="4" w:tplc="42A4FE96">
      <w:start w:val="1"/>
      <w:numFmt w:val="bullet"/>
      <w:lvlText w:val="o"/>
      <w:lvlJc w:val="left"/>
      <w:pPr>
        <w:ind w:left="3600" w:hanging="360"/>
      </w:pPr>
      <w:rPr>
        <w:rFonts w:ascii="Courier New" w:hAnsi="Courier New" w:hint="default"/>
      </w:rPr>
    </w:lvl>
    <w:lvl w:ilvl="5" w:tplc="74242B44">
      <w:start w:val="1"/>
      <w:numFmt w:val="bullet"/>
      <w:lvlText w:val=""/>
      <w:lvlJc w:val="left"/>
      <w:pPr>
        <w:ind w:left="4320" w:hanging="360"/>
      </w:pPr>
      <w:rPr>
        <w:rFonts w:ascii="Wingdings" w:hAnsi="Wingdings" w:hint="default"/>
      </w:rPr>
    </w:lvl>
    <w:lvl w:ilvl="6" w:tplc="14264A34">
      <w:start w:val="1"/>
      <w:numFmt w:val="bullet"/>
      <w:lvlText w:val=""/>
      <w:lvlJc w:val="left"/>
      <w:pPr>
        <w:ind w:left="5040" w:hanging="360"/>
      </w:pPr>
      <w:rPr>
        <w:rFonts w:ascii="Symbol" w:hAnsi="Symbol" w:hint="default"/>
      </w:rPr>
    </w:lvl>
    <w:lvl w:ilvl="7" w:tplc="266A1B42">
      <w:start w:val="1"/>
      <w:numFmt w:val="bullet"/>
      <w:lvlText w:val="o"/>
      <w:lvlJc w:val="left"/>
      <w:pPr>
        <w:ind w:left="5760" w:hanging="360"/>
      </w:pPr>
      <w:rPr>
        <w:rFonts w:ascii="Courier New" w:hAnsi="Courier New" w:hint="default"/>
      </w:rPr>
    </w:lvl>
    <w:lvl w:ilvl="8" w:tplc="1FD80950">
      <w:start w:val="1"/>
      <w:numFmt w:val="bullet"/>
      <w:lvlText w:val=""/>
      <w:lvlJc w:val="left"/>
      <w:pPr>
        <w:ind w:left="6480" w:hanging="360"/>
      </w:pPr>
      <w:rPr>
        <w:rFonts w:ascii="Wingdings" w:hAnsi="Wingdings" w:hint="default"/>
      </w:rPr>
    </w:lvl>
  </w:abstractNum>
  <w:abstractNum w:abstractNumId="7"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9499836">
    <w:abstractNumId w:val="6"/>
  </w:num>
  <w:num w:numId="2" w16cid:durableId="1530870052">
    <w:abstractNumId w:val="4"/>
  </w:num>
  <w:num w:numId="3" w16cid:durableId="1976913297">
    <w:abstractNumId w:val="5"/>
  </w:num>
  <w:num w:numId="4" w16cid:durableId="36855300">
    <w:abstractNumId w:val="7"/>
  </w:num>
  <w:num w:numId="5" w16cid:durableId="1584872665">
    <w:abstractNumId w:val="2"/>
  </w:num>
  <w:num w:numId="6" w16cid:durableId="835726933">
    <w:abstractNumId w:val="1"/>
  </w:num>
  <w:num w:numId="7" w16cid:durableId="888230540">
    <w:abstractNumId w:val="0"/>
  </w:num>
  <w:num w:numId="8" w16cid:durableId="741409671">
    <w:abstractNumId w:val="8"/>
  </w:num>
  <w:num w:numId="9" w16cid:durableId="1918324309">
    <w:abstractNumId w:val="3"/>
  </w:num>
  <w:num w:numId="10" w16cid:durableId="166739536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26040"/>
    <w:rsid w:val="0005074B"/>
    <w:rsid w:val="00051ED1"/>
    <w:rsid w:val="000527DC"/>
    <w:rsid w:val="00063ECB"/>
    <w:rsid w:val="00066885"/>
    <w:rsid w:val="00081B23"/>
    <w:rsid w:val="000917A2"/>
    <w:rsid w:val="00093AA8"/>
    <w:rsid w:val="000A4767"/>
    <w:rsid w:val="000A47E9"/>
    <w:rsid w:val="000B5345"/>
    <w:rsid w:val="000D4E7D"/>
    <w:rsid w:val="000D7FC3"/>
    <w:rsid w:val="000E7B2E"/>
    <w:rsid w:val="000F1C1C"/>
    <w:rsid w:val="000F6BD8"/>
    <w:rsid w:val="00105AD2"/>
    <w:rsid w:val="00107991"/>
    <w:rsid w:val="00117183"/>
    <w:rsid w:val="001400EC"/>
    <w:rsid w:val="00144052"/>
    <w:rsid w:val="00174112"/>
    <w:rsid w:val="00182F3C"/>
    <w:rsid w:val="0018344F"/>
    <w:rsid w:val="00185BAA"/>
    <w:rsid w:val="00190EE1"/>
    <w:rsid w:val="0019761B"/>
    <w:rsid w:val="001B5814"/>
    <w:rsid w:val="001C1E03"/>
    <w:rsid w:val="001E1E72"/>
    <w:rsid w:val="001E6D4F"/>
    <w:rsid w:val="00215AA6"/>
    <w:rsid w:val="00223565"/>
    <w:rsid w:val="002311CF"/>
    <w:rsid w:val="002436A7"/>
    <w:rsid w:val="002532A0"/>
    <w:rsid w:val="00266C07"/>
    <w:rsid w:val="00270C53"/>
    <w:rsid w:val="00290824"/>
    <w:rsid w:val="00292785"/>
    <w:rsid w:val="002931D4"/>
    <w:rsid w:val="00297F1A"/>
    <w:rsid w:val="002D5B17"/>
    <w:rsid w:val="002D5F17"/>
    <w:rsid w:val="002E739E"/>
    <w:rsid w:val="002E7F41"/>
    <w:rsid w:val="0034424D"/>
    <w:rsid w:val="00357080"/>
    <w:rsid w:val="00361C84"/>
    <w:rsid w:val="0036419B"/>
    <w:rsid w:val="00373094"/>
    <w:rsid w:val="00376BE5"/>
    <w:rsid w:val="00377332"/>
    <w:rsid w:val="003A00F1"/>
    <w:rsid w:val="003A5A48"/>
    <w:rsid w:val="003B0477"/>
    <w:rsid w:val="003C71C1"/>
    <w:rsid w:val="003C7A48"/>
    <w:rsid w:val="003D6AAB"/>
    <w:rsid w:val="003F0D87"/>
    <w:rsid w:val="00413F92"/>
    <w:rsid w:val="004240AA"/>
    <w:rsid w:val="004416A2"/>
    <w:rsid w:val="004450A6"/>
    <w:rsid w:val="004542F3"/>
    <w:rsid w:val="00461850"/>
    <w:rsid w:val="004874B0"/>
    <w:rsid w:val="00491458"/>
    <w:rsid w:val="004B67D1"/>
    <w:rsid w:val="004B7056"/>
    <w:rsid w:val="004B7B37"/>
    <w:rsid w:val="004D700A"/>
    <w:rsid w:val="004E046F"/>
    <w:rsid w:val="004E2B66"/>
    <w:rsid w:val="004E6B6E"/>
    <w:rsid w:val="004F7512"/>
    <w:rsid w:val="00503554"/>
    <w:rsid w:val="00503BD6"/>
    <w:rsid w:val="005163E2"/>
    <w:rsid w:val="005244DE"/>
    <w:rsid w:val="00534E0D"/>
    <w:rsid w:val="0053740B"/>
    <w:rsid w:val="0054371E"/>
    <w:rsid w:val="00557DD3"/>
    <w:rsid w:val="0056149F"/>
    <w:rsid w:val="005776B0"/>
    <w:rsid w:val="00583F1F"/>
    <w:rsid w:val="00586EB6"/>
    <w:rsid w:val="0059321F"/>
    <w:rsid w:val="005A72E8"/>
    <w:rsid w:val="005C5A33"/>
    <w:rsid w:val="005D6BB7"/>
    <w:rsid w:val="005E1449"/>
    <w:rsid w:val="005F194E"/>
    <w:rsid w:val="005F642D"/>
    <w:rsid w:val="00602503"/>
    <w:rsid w:val="00604BD1"/>
    <w:rsid w:val="00630B93"/>
    <w:rsid w:val="006340D6"/>
    <w:rsid w:val="00642159"/>
    <w:rsid w:val="00642488"/>
    <w:rsid w:val="006543EC"/>
    <w:rsid w:val="00670495"/>
    <w:rsid w:val="00674F47"/>
    <w:rsid w:val="00685114"/>
    <w:rsid w:val="00685944"/>
    <w:rsid w:val="00693667"/>
    <w:rsid w:val="006A77B1"/>
    <w:rsid w:val="006C27C0"/>
    <w:rsid w:val="006D7A70"/>
    <w:rsid w:val="006E307D"/>
    <w:rsid w:val="00703C61"/>
    <w:rsid w:val="0071074A"/>
    <w:rsid w:val="00716E08"/>
    <w:rsid w:val="007250F6"/>
    <w:rsid w:val="00732DCB"/>
    <w:rsid w:val="00733072"/>
    <w:rsid w:val="00740C0D"/>
    <w:rsid w:val="007517BA"/>
    <w:rsid w:val="00764072"/>
    <w:rsid w:val="00773E29"/>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1E77"/>
    <w:rsid w:val="00816BD0"/>
    <w:rsid w:val="00823FC0"/>
    <w:rsid w:val="00827C91"/>
    <w:rsid w:val="00830BE8"/>
    <w:rsid w:val="00831AAE"/>
    <w:rsid w:val="0084128B"/>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26FF6"/>
    <w:rsid w:val="0093477E"/>
    <w:rsid w:val="00934830"/>
    <w:rsid w:val="00936656"/>
    <w:rsid w:val="00936F54"/>
    <w:rsid w:val="00937F9B"/>
    <w:rsid w:val="00967C00"/>
    <w:rsid w:val="00974694"/>
    <w:rsid w:val="00976962"/>
    <w:rsid w:val="009A19C8"/>
    <w:rsid w:val="009A3829"/>
    <w:rsid w:val="009B400A"/>
    <w:rsid w:val="009B79E5"/>
    <w:rsid w:val="009D2F99"/>
    <w:rsid w:val="009E353C"/>
    <w:rsid w:val="00A13434"/>
    <w:rsid w:val="00A149EF"/>
    <w:rsid w:val="00A1586D"/>
    <w:rsid w:val="00A26F84"/>
    <w:rsid w:val="00A31578"/>
    <w:rsid w:val="00A323FD"/>
    <w:rsid w:val="00A33E0A"/>
    <w:rsid w:val="00A53B37"/>
    <w:rsid w:val="00A6185E"/>
    <w:rsid w:val="00A722CB"/>
    <w:rsid w:val="00A838DD"/>
    <w:rsid w:val="00AB0C5F"/>
    <w:rsid w:val="00AB76D3"/>
    <w:rsid w:val="00AF418B"/>
    <w:rsid w:val="00AF720E"/>
    <w:rsid w:val="00B06A89"/>
    <w:rsid w:val="00B13112"/>
    <w:rsid w:val="00B1756C"/>
    <w:rsid w:val="00B2484F"/>
    <w:rsid w:val="00B40DA4"/>
    <w:rsid w:val="00B52507"/>
    <w:rsid w:val="00B705F3"/>
    <w:rsid w:val="00B7725E"/>
    <w:rsid w:val="00B810EB"/>
    <w:rsid w:val="00B816B9"/>
    <w:rsid w:val="00B8246F"/>
    <w:rsid w:val="00BA7D3E"/>
    <w:rsid w:val="00BB0F1E"/>
    <w:rsid w:val="00BC481D"/>
    <w:rsid w:val="00BC5712"/>
    <w:rsid w:val="00BD79A6"/>
    <w:rsid w:val="00BF1D3E"/>
    <w:rsid w:val="00BF2D54"/>
    <w:rsid w:val="00C264DE"/>
    <w:rsid w:val="00C36B91"/>
    <w:rsid w:val="00C66DDF"/>
    <w:rsid w:val="00C676AE"/>
    <w:rsid w:val="00C67940"/>
    <w:rsid w:val="00C711F9"/>
    <w:rsid w:val="00C77217"/>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75BC"/>
    <w:rsid w:val="00DA0AB8"/>
    <w:rsid w:val="00DA4A52"/>
    <w:rsid w:val="00DC7317"/>
    <w:rsid w:val="00DD5607"/>
    <w:rsid w:val="00DF606D"/>
    <w:rsid w:val="00E0377F"/>
    <w:rsid w:val="00E05A1C"/>
    <w:rsid w:val="00E212AF"/>
    <w:rsid w:val="00E40416"/>
    <w:rsid w:val="00E47A53"/>
    <w:rsid w:val="00E60536"/>
    <w:rsid w:val="00E73F14"/>
    <w:rsid w:val="00E7581D"/>
    <w:rsid w:val="00E86716"/>
    <w:rsid w:val="00E9606D"/>
    <w:rsid w:val="00EA0434"/>
    <w:rsid w:val="00EA22B2"/>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759"/>
    <w:rsid w:val="00F82287"/>
    <w:rsid w:val="00F8354B"/>
    <w:rsid w:val="00F9098A"/>
    <w:rsid w:val="00F93BFE"/>
    <w:rsid w:val="00F94E2E"/>
    <w:rsid w:val="00FA62D8"/>
    <w:rsid w:val="00FA77A5"/>
    <w:rsid w:val="00FC0B02"/>
    <w:rsid w:val="00FC64C1"/>
    <w:rsid w:val="00FD3F85"/>
    <w:rsid w:val="00FD48D6"/>
    <w:rsid w:val="00FD61F7"/>
    <w:rsid w:val="00FD6B4C"/>
    <w:rsid w:val="00FE420C"/>
    <w:rsid w:val="012C5658"/>
    <w:rsid w:val="013667E4"/>
    <w:rsid w:val="01891785"/>
    <w:rsid w:val="01897D6D"/>
    <w:rsid w:val="0209CAEF"/>
    <w:rsid w:val="027EC53C"/>
    <w:rsid w:val="02B7D75B"/>
    <w:rsid w:val="0324224D"/>
    <w:rsid w:val="03258958"/>
    <w:rsid w:val="0325DB1F"/>
    <w:rsid w:val="0370C70B"/>
    <w:rsid w:val="03884D2F"/>
    <w:rsid w:val="039B8260"/>
    <w:rsid w:val="040D6728"/>
    <w:rsid w:val="040DA2AC"/>
    <w:rsid w:val="04565DD9"/>
    <w:rsid w:val="05B06F69"/>
    <w:rsid w:val="05D72AC4"/>
    <w:rsid w:val="05DD7A90"/>
    <w:rsid w:val="05E42EC0"/>
    <w:rsid w:val="0609D907"/>
    <w:rsid w:val="0611C68D"/>
    <w:rsid w:val="06C81121"/>
    <w:rsid w:val="06CAAB21"/>
    <w:rsid w:val="076A6E89"/>
    <w:rsid w:val="07AD96EE"/>
    <w:rsid w:val="080348E3"/>
    <w:rsid w:val="08591FD7"/>
    <w:rsid w:val="088043FE"/>
    <w:rsid w:val="092B576A"/>
    <w:rsid w:val="095F1382"/>
    <w:rsid w:val="09997907"/>
    <w:rsid w:val="0A08457A"/>
    <w:rsid w:val="0ADD4A2A"/>
    <w:rsid w:val="0BFDBB8F"/>
    <w:rsid w:val="0C08470A"/>
    <w:rsid w:val="0C5F86A4"/>
    <w:rsid w:val="0CCA10C3"/>
    <w:rsid w:val="0D0C426C"/>
    <w:rsid w:val="0D22DA4A"/>
    <w:rsid w:val="0D405C4A"/>
    <w:rsid w:val="0D41B60F"/>
    <w:rsid w:val="0D7283BC"/>
    <w:rsid w:val="0D738AD3"/>
    <w:rsid w:val="0D95DFB5"/>
    <w:rsid w:val="0E1CD872"/>
    <w:rsid w:val="0E59620A"/>
    <w:rsid w:val="0ED92CDD"/>
    <w:rsid w:val="0F1CFB07"/>
    <w:rsid w:val="0F22B47F"/>
    <w:rsid w:val="0F40D9B9"/>
    <w:rsid w:val="0F8C749F"/>
    <w:rsid w:val="0FB8A8D3"/>
    <w:rsid w:val="101C2463"/>
    <w:rsid w:val="11496480"/>
    <w:rsid w:val="11547934"/>
    <w:rsid w:val="1154FA99"/>
    <w:rsid w:val="11C28BD0"/>
    <w:rsid w:val="11E576C7"/>
    <w:rsid w:val="1213CD6D"/>
    <w:rsid w:val="125253C1"/>
    <w:rsid w:val="13456AB4"/>
    <w:rsid w:val="13E65D08"/>
    <w:rsid w:val="150B097B"/>
    <w:rsid w:val="15A88ED4"/>
    <w:rsid w:val="15BCF6F8"/>
    <w:rsid w:val="1705E9F7"/>
    <w:rsid w:val="17C469D7"/>
    <w:rsid w:val="1A04C6D0"/>
    <w:rsid w:val="1A39A599"/>
    <w:rsid w:val="1A904BD5"/>
    <w:rsid w:val="1AFFFEA0"/>
    <w:rsid w:val="1B719FDF"/>
    <w:rsid w:val="1B89EE56"/>
    <w:rsid w:val="1BCE088A"/>
    <w:rsid w:val="1C192F53"/>
    <w:rsid w:val="1D1AA1FF"/>
    <w:rsid w:val="1D5FC75F"/>
    <w:rsid w:val="1D687E33"/>
    <w:rsid w:val="1D8B666C"/>
    <w:rsid w:val="1DD1AA93"/>
    <w:rsid w:val="1E4EAF37"/>
    <w:rsid w:val="1E8ED4C4"/>
    <w:rsid w:val="1EB85587"/>
    <w:rsid w:val="1EDFE4BA"/>
    <w:rsid w:val="1EFA9BA1"/>
    <w:rsid w:val="1F11E84D"/>
    <w:rsid w:val="1F4C94C9"/>
    <w:rsid w:val="1FBD1C3E"/>
    <w:rsid w:val="1FD6D5D1"/>
    <w:rsid w:val="2151C859"/>
    <w:rsid w:val="219912ED"/>
    <w:rsid w:val="221D37BE"/>
    <w:rsid w:val="223C9DCE"/>
    <w:rsid w:val="22942D28"/>
    <w:rsid w:val="23AEC260"/>
    <w:rsid w:val="23C2F810"/>
    <w:rsid w:val="2400E629"/>
    <w:rsid w:val="243AD028"/>
    <w:rsid w:val="258C84A9"/>
    <w:rsid w:val="25E909F4"/>
    <w:rsid w:val="263E0E21"/>
    <w:rsid w:val="26DD68E0"/>
    <w:rsid w:val="26DDE489"/>
    <w:rsid w:val="26EB611F"/>
    <w:rsid w:val="26F35DBA"/>
    <w:rsid w:val="271E39B2"/>
    <w:rsid w:val="27233350"/>
    <w:rsid w:val="27D6B754"/>
    <w:rsid w:val="2823A99F"/>
    <w:rsid w:val="289015E0"/>
    <w:rsid w:val="28A12041"/>
    <w:rsid w:val="28AC8B92"/>
    <w:rsid w:val="28E5D2BE"/>
    <w:rsid w:val="2991D6AC"/>
    <w:rsid w:val="2A1EADED"/>
    <w:rsid w:val="2AFB88AD"/>
    <w:rsid w:val="2B177293"/>
    <w:rsid w:val="2B3C1EE6"/>
    <w:rsid w:val="2C710DA7"/>
    <w:rsid w:val="2CD89E66"/>
    <w:rsid w:val="2DBC31B8"/>
    <w:rsid w:val="2DDBD4D0"/>
    <w:rsid w:val="2DE4B1E1"/>
    <w:rsid w:val="2E473E74"/>
    <w:rsid w:val="2F4EDE5D"/>
    <w:rsid w:val="2FE0867F"/>
    <w:rsid w:val="2FFE8DA3"/>
    <w:rsid w:val="302F8700"/>
    <w:rsid w:val="319F9C17"/>
    <w:rsid w:val="32F36785"/>
    <w:rsid w:val="33167FF9"/>
    <w:rsid w:val="33180F99"/>
    <w:rsid w:val="333325BE"/>
    <w:rsid w:val="3348400A"/>
    <w:rsid w:val="33740D1D"/>
    <w:rsid w:val="343C3354"/>
    <w:rsid w:val="351014BF"/>
    <w:rsid w:val="356FC237"/>
    <w:rsid w:val="3592FC20"/>
    <w:rsid w:val="37B3775E"/>
    <w:rsid w:val="3828206F"/>
    <w:rsid w:val="3882E6AF"/>
    <w:rsid w:val="3897782F"/>
    <w:rsid w:val="389C9D90"/>
    <w:rsid w:val="38B17485"/>
    <w:rsid w:val="38EA7617"/>
    <w:rsid w:val="38FE12FB"/>
    <w:rsid w:val="397AF704"/>
    <w:rsid w:val="3A504AE4"/>
    <w:rsid w:val="3A69ACFB"/>
    <w:rsid w:val="3B30E9AD"/>
    <w:rsid w:val="3B3802F0"/>
    <w:rsid w:val="3B6AE0E1"/>
    <w:rsid w:val="3B741C1B"/>
    <w:rsid w:val="3BDF03BB"/>
    <w:rsid w:val="3C61CC29"/>
    <w:rsid w:val="3C68C860"/>
    <w:rsid w:val="3C9DEAA5"/>
    <w:rsid w:val="3CC97F63"/>
    <w:rsid w:val="3CDCD83A"/>
    <w:rsid w:val="3DAB8C86"/>
    <w:rsid w:val="3DBE1942"/>
    <w:rsid w:val="3DD50F89"/>
    <w:rsid w:val="3E511552"/>
    <w:rsid w:val="3F1597B8"/>
    <w:rsid w:val="3F16A47D"/>
    <w:rsid w:val="3F6B579A"/>
    <w:rsid w:val="3F9E872B"/>
    <w:rsid w:val="3FAA30E5"/>
    <w:rsid w:val="3FC0DC2A"/>
    <w:rsid w:val="40393F37"/>
    <w:rsid w:val="40D0435F"/>
    <w:rsid w:val="40F44B3F"/>
    <w:rsid w:val="42167DCF"/>
    <w:rsid w:val="424DE75F"/>
    <w:rsid w:val="4265D54C"/>
    <w:rsid w:val="42AE23EA"/>
    <w:rsid w:val="43EA15A0"/>
    <w:rsid w:val="4494DF87"/>
    <w:rsid w:val="44D49148"/>
    <w:rsid w:val="450A1850"/>
    <w:rsid w:val="454478DF"/>
    <w:rsid w:val="4682AFE8"/>
    <w:rsid w:val="47E9B826"/>
    <w:rsid w:val="4838B33E"/>
    <w:rsid w:val="4AA7DFCE"/>
    <w:rsid w:val="4BD9F2C8"/>
    <w:rsid w:val="4CA12FC5"/>
    <w:rsid w:val="4CC6D216"/>
    <w:rsid w:val="4D7349FB"/>
    <w:rsid w:val="4D76C2C4"/>
    <w:rsid w:val="4D97E244"/>
    <w:rsid w:val="4DC4233F"/>
    <w:rsid w:val="4DEA9544"/>
    <w:rsid w:val="4FB28722"/>
    <w:rsid w:val="500762DD"/>
    <w:rsid w:val="520AE445"/>
    <w:rsid w:val="5235D015"/>
    <w:rsid w:val="52C8C456"/>
    <w:rsid w:val="53FC4483"/>
    <w:rsid w:val="5498516F"/>
    <w:rsid w:val="54FE0DE9"/>
    <w:rsid w:val="55231144"/>
    <w:rsid w:val="552758BB"/>
    <w:rsid w:val="55A28258"/>
    <w:rsid w:val="56B27A20"/>
    <w:rsid w:val="56DE5568"/>
    <w:rsid w:val="5726B0F9"/>
    <w:rsid w:val="5731DB16"/>
    <w:rsid w:val="57612009"/>
    <w:rsid w:val="57AC7A9F"/>
    <w:rsid w:val="58A24372"/>
    <w:rsid w:val="5920E403"/>
    <w:rsid w:val="59DEA8C5"/>
    <w:rsid w:val="59E44BF3"/>
    <w:rsid w:val="59E82668"/>
    <w:rsid w:val="5A9A4C80"/>
    <w:rsid w:val="5B13E4CD"/>
    <w:rsid w:val="5B173A62"/>
    <w:rsid w:val="5B5C1496"/>
    <w:rsid w:val="5D000EC2"/>
    <w:rsid w:val="5D046058"/>
    <w:rsid w:val="5D6B238C"/>
    <w:rsid w:val="5E15AA59"/>
    <w:rsid w:val="5E7918FC"/>
    <w:rsid w:val="5E978BA5"/>
    <w:rsid w:val="5F52C2B9"/>
    <w:rsid w:val="6007FFB8"/>
    <w:rsid w:val="6068CED2"/>
    <w:rsid w:val="60BE40F4"/>
    <w:rsid w:val="60F16445"/>
    <w:rsid w:val="612D6046"/>
    <w:rsid w:val="6196DE34"/>
    <w:rsid w:val="625FA9B1"/>
    <w:rsid w:val="62DCAE34"/>
    <w:rsid w:val="63642A8C"/>
    <w:rsid w:val="63ADBDB7"/>
    <w:rsid w:val="6403247A"/>
    <w:rsid w:val="6409509C"/>
    <w:rsid w:val="64411B70"/>
    <w:rsid w:val="6498037D"/>
    <w:rsid w:val="64C96453"/>
    <w:rsid w:val="64D4B4B9"/>
    <w:rsid w:val="65A42A95"/>
    <w:rsid w:val="65F13FDA"/>
    <w:rsid w:val="6607A081"/>
    <w:rsid w:val="66472A56"/>
    <w:rsid w:val="677F8EFF"/>
    <w:rsid w:val="68273CAA"/>
    <w:rsid w:val="6829D89F"/>
    <w:rsid w:val="682D2212"/>
    <w:rsid w:val="682E8AFD"/>
    <w:rsid w:val="6842D4C2"/>
    <w:rsid w:val="6859D84D"/>
    <w:rsid w:val="6943DD51"/>
    <w:rsid w:val="699EC91F"/>
    <w:rsid w:val="6BB33DD8"/>
    <w:rsid w:val="6BEE3EC4"/>
    <w:rsid w:val="6BEF7F16"/>
    <w:rsid w:val="6C4D01F5"/>
    <w:rsid w:val="6DACF650"/>
    <w:rsid w:val="6E02BDB9"/>
    <w:rsid w:val="6E943B6F"/>
    <w:rsid w:val="6EB27393"/>
    <w:rsid w:val="6F560064"/>
    <w:rsid w:val="6F717887"/>
    <w:rsid w:val="7141CCEB"/>
    <w:rsid w:val="714981EE"/>
    <w:rsid w:val="71EEF865"/>
    <w:rsid w:val="72B9E7BF"/>
    <w:rsid w:val="738AC8C6"/>
    <w:rsid w:val="73B72E6A"/>
    <w:rsid w:val="742D781D"/>
    <w:rsid w:val="7569BE73"/>
    <w:rsid w:val="758490EB"/>
    <w:rsid w:val="76585C8F"/>
    <w:rsid w:val="7730BFC9"/>
    <w:rsid w:val="77FE17A1"/>
    <w:rsid w:val="788D602A"/>
    <w:rsid w:val="79D117AB"/>
    <w:rsid w:val="79FA0A4A"/>
    <w:rsid w:val="7A8C362C"/>
    <w:rsid w:val="7A9FB883"/>
    <w:rsid w:val="7D12468F"/>
    <w:rsid w:val="7DBDD9C9"/>
    <w:rsid w:val="7DF0C6BE"/>
    <w:rsid w:val="7DFEC721"/>
    <w:rsid w:val="7E7039FE"/>
    <w:rsid w:val="7E8D7308"/>
    <w:rsid w:val="7F1A488D"/>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image" Target="media/image1.jp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hangingplaces.ie/" TargetMode="Externa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yperlink" Target="https://www.rcs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hyperlink" Target="mailto:collettepower@rcsi.com"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3.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DDF91-7E39-4917-A975-2E9833EF6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17</cp:revision>
  <dcterms:created xsi:type="dcterms:W3CDTF">2026-03-26T10:55:00Z</dcterms:created>
  <dcterms:modified xsi:type="dcterms:W3CDTF">2026-04-29T13:45:00Z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