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271E39B2" w:rsidP="4D76C2C4" w:rsidRDefault="00FD6B4C" w14:paraId="119A30E8" w14:textId="417C28E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HEA </w:t>
      </w:r>
      <w:r w:rsidRPr="4D76C2C4" w:rsidR="271E39B2">
        <w:rPr>
          <w:b/>
          <w:bCs/>
          <w:sz w:val="28"/>
          <w:szCs w:val="28"/>
        </w:rPr>
        <w:t xml:space="preserve">Healthy Campus </w:t>
      </w:r>
      <w:r w:rsidR="271E39B2">
        <w:tab/>
      </w:r>
      <w:r w:rsidR="271E39B2">
        <w:tab/>
      </w:r>
      <w:r w:rsidR="271E39B2">
        <w:tab/>
      </w:r>
      <w:r w:rsidR="271E39B2">
        <w:tab/>
      </w:r>
      <w:r w:rsidR="271E39B2">
        <w:tab/>
      </w:r>
      <w:r w:rsidR="271E39B2">
        <w:tab/>
      </w:r>
      <w:r w:rsidR="271E39B2">
        <w:tab/>
      </w:r>
      <w:r w:rsidR="271E39B2">
        <w:tab/>
      </w:r>
      <w:r w:rsidRPr="4D76C2C4" w:rsidR="271E39B2">
        <w:rPr>
          <w:b/>
          <w:bCs/>
          <w:sz w:val="28"/>
          <w:szCs w:val="28"/>
        </w:rPr>
        <w:t xml:space="preserve">Case Study </w:t>
      </w:r>
    </w:p>
    <w:p w:rsidRPr="00801E77" w:rsidR="00801E77" w:rsidP="00801E77" w:rsidRDefault="00801E77" w14:paraId="584F2F72" w14:textId="77777777">
      <w:pPr>
        <w:pStyle w:val="ListParagraph"/>
        <w:jc w:val="both"/>
        <w:rPr>
          <w:rFonts w:ascii="Calibri" w:hAnsi="Calibri" w:eastAsia="Calibri" w:cs="Calibri"/>
          <w:lang w:val="en-GB"/>
        </w:rPr>
      </w:pPr>
    </w:p>
    <w:tbl>
      <w:tblPr>
        <w:tblStyle w:val="TableGrid"/>
        <w:tblW w:w="9776" w:type="dxa"/>
        <w:tblLayout w:type="fixed"/>
        <w:tblLook w:val="04A0" w:firstRow="1" w:lastRow="0" w:firstColumn="1" w:lastColumn="0" w:noHBand="0" w:noVBand="1"/>
      </w:tblPr>
      <w:tblGrid>
        <w:gridCol w:w="2689"/>
        <w:gridCol w:w="7087"/>
      </w:tblGrid>
      <w:tr w:rsidR="4D76C2C4" w:rsidTr="46768E79" w14:paraId="484705F3" w14:textId="77777777">
        <w:trPr>
          <w:trHeight w:val="300"/>
        </w:trPr>
        <w:tc>
          <w:tcPr>
            <w:tcW w:w="9776" w:type="dxa"/>
            <w:gridSpan w:val="2"/>
            <w:shd w:val="clear" w:color="auto" w:fill="4472C4" w:themeFill="accent1"/>
            <w:tcMar>
              <w:left w:w="105" w:type="dxa"/>
              <w:right w:w="105" w:type="dxa"/>
            </w:tcMar>
          </w:tcPr>
          <w:p w:rsidR="3C9DEAA5" w:rsidP="4D76C2C4" w:rsidRDefault="3C9DEAA5" w14:paraId="4105C87E" w14:textId="79E2FE4B">
            <w:pPr>
              <w:spacing w:before="80" w:after="80" w:line="259" w:lineRule="auto"/>
              <w:rPr>
                <w:rFonts w:ascii="Calibri" w:hAnsi="Calibri" w:eastAsia="Calibri" w:cs="Calibri"/>
                <w:b/>
                <w:bCs/>
                <w:color w:val="FFFFFF" w:themeColor="background1"/>
                <w:sz w:val="24"/>
                <w:szCs w:val="24"/>
                <w:lang w:val="en-IE"/>
              </w:rPr>
            </w:pPr>
            <w:r w:rsidRPr="4D76C2C4">
              <w:rPr>
                <w:rFonts w:ascii="Calibri" w:hAnsi="Calibri" w:eastAsia="Calibri" w:cs="Calibri"/>
                <w:b/>
                <w:bCs/>
                <w:color w:val="FFFFFF" w:themeColor="background1"/>
                <w:sz w:val="24"/>
                <w:szCs w:val="24"/>
                <w:lang w:val="en-IE"/>
              </w:rPr>
              <w:t>H</w:t>
            </w:r>
            <w:r w:rsidRPr="4D76C2C4" w:rsidR="714981EE">
              <w:rPr>
                <w:rFonts w:ascii="Calibri" w:hAnsi="Calibri" w:eastAsia="Calibri" w:cs="Calibri"/>
                <w:b/>
                <w:bCs/>
                <w:color w:val="FFFFFF" w:themeColor="background1"/>
                <w:sz w:val="24"/>
                <w:szCs w:val="24"/>
                <w:lang w:val="en-IE"/>
              </w:rPr>
              <w:t>EALTHY</w:t>
            </w:r>
            <w:r w:rsidRPr="4D76C2C4">
              <w:rPr>
                <w:rFonts w:ascii="Calibri" w:hAnsi="Calibri" w:eastAsia="Calibri" w:cs="Calibri"/>
                <w:b/>
                <w:bCs/>
                <w:color w:val="FFFFFF" w:themeColor="background1"/>
                <w:sz w:val="24"/>
                <w:szCs w:val="24"/>
                <w:lang w:val="en-IE"/>
              </w:rPr>
              <w:t xml:space="preserve"> C</w:t>
            </w:r>
            <w:r w:rsidRPr="4D76C2C4" w:rsidR="7141CCEB">
              <w:rPr>
                <w:rFonts w:ascii="Calibri" w:hAnsi="Calibri" w:eastAsia="Calibri" w:cs="Calibri"/>
                <w:b/>
                <w:bCs/>
                <w:color w:val="FFFFFF" w:themeColor="background1"/>
                <w:sz w:val="24"/>
                <w:szCs w:val="24"/>
                <w:lang w:val="en-IE"/>
              </w:rPr>
              <w:t>AMPUS</w:t>
            </w:r>
            <w:r w:rsidRPr="4D76C2C4">
              <w:rPr>
                <w:rFonts w:ascii="Calibri" w:hAnsi="Calibri" w:eastAsia="Calibri" w:cs="Calibri"/>
                <w:b/>
                <w:bCs/>
                <w:color w:val="FFFFFF" w:themeColor="background1"/>
                <w:sz w:val="24"/>
                <w:szCs w:val="24"/>
                <w:lang w:val="en-IE"/>
              </w:rPr>
              <w:t xml:space="preserve"> C</w:t>
            </w:r>
            <w:r w:rsidRPr="4D76C2C4" w:rsidR="1E8ED4C4">
              <w:rPr>
                <w:rFonts w:ascii="Calibri" w:hAnsi="Calibri" w:eastAsia="Calibri" w:cs="Calibri"/>
                <w:b/>
                <w:bCs/>
                <w:color w:val="FFFFFF" w:themeColor="background1"/>
                <w:sz w:val="24"/>
                <w:szCs w:val="24"/>
                <w:lang w:val="en-IE"/>
              </w:rPr>
              <w:t>ASE</w:t>
            </w:r>
            <w:r w:rsidRPr="4D76C2C4">
              <w:rPr>
                <w:rFonts w:ascii="Calibri" w:hAnsi="Calibri" w:eastAsia="Calibri" w:cs="Calibri"/>
                <w:b/>
                <w:bCs/>
                <w:color w:val="FFFFFF" w:themeColor="background1"/>
                <w:sz w:val="24"/>
                <w:szCs w:val="24"/>
                <w:lang w:val="en-IE"/>
              </w:rPr>
              <w:t xml:space="preserve"> S</w:t>
            </w:r>
            <w:r w:rsidRPr="4D76C2C4" w:rsidR="007250F6">
              <w:rPr>
                <w:rFonts w:ascii="Calibri" w:hAnsi="Calibri" w:eastAsia="Calibri" w:cs="Calibri"/>
                <w:b/>
                <w:bCs/>
                <w:color w:val="FFFFFF" w:themeColor="background1"/>
                <w:sz w:val="24"/>
                <w:szCs w:val="24"/>
                <w:lang w:val="en-IE"/>
              </w:rPr>
              <w:t>TUDY</w:t>
            </w:r>
          </w:p>
        </w:tc>
      </w:tr>
      <w:tr w:rsidR="4D76C2C4" w:rsidTr="46768E79" w14:paraId="754AF52A" w14:textId="77777777">
        <w:trPr>
          <w:trHeight w:val="300"/>
        </w:trPr>
        <w:tc>
          <w:tcPr>
            <w:tcW w:w="9776" w:type="dxa"/>
            <w:gridSpan w:val="2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:rsidR="4D76C2C4" w:rsidP="4D76C2C4" w:rsidRDefault="4D76C2C4" w14:paraId="22CD9D51" w14:textId="7E55C379">
            <w:pPr>
              <w:spacing w:before="80" w:after="80" w:line="259" w:lineRule="auto"/>
              <w:rPr>
                <w:rFonts w:ascii="Calibri" w:hAnsi="Calibri" w:eastAsia="Calibri" w:cs="Calibri"/>
                <w:b/>
                <w:bCs/>
                <w:color w:val="000000" w:themeColor="text1"/>
                <w:lang w:val="en-IE"/>
              </w:rPr>
            </w:pPr>
          </w:p>
        </w:tc>
      </w:tr>
      <w:tr w:rsidR="4D76C2C4" w:rsidTr="46768E79" w14:paraId="1489F7DC" w14:textId="77777777">
        <w:trPr>
          <w:trHeight w:val="300"/>
        </w:trPr>
        <w:tc>
          <w:tcPr>
            <w:tcW w:w="2689" w:type="dxa"/>
            <w:tcMar>
              <w:left w:w="105" w:type="dxa"/>
              <w:right w:w="105" w:type="dxa"/>
            </w:tcMar>
          </w:tcPr>
          <w:p w:rsidRPr="00E2480F" w:rsidR="4D76C2C4" w:rsidP="00ED283B" w:rsidRDefault="4D76C2C4" w14:paraId="45AE1DF4" w14:textId="0D69C1F7">
            <w:pPr>
              <w:spacing w:before="80" w:after="80" w:line="259" w:lineRule="auto"/>
              <w:rPr>
                <w:rFonts w:eastAsiaTheme="minorEastAsia"/>
                <w:color w:val="000000" w:themeColor="text1"/>
              </w:rPr>
            </w:pPr>
            <w:r w:rsidRPr="4D76C2C4">
              <w:rPr>
                <w:rFonts w:eastAsiaTheme="minorEastAsia"/>
                <w:b/>
                <w:bCs/>
                <w:color w:val="000000" w:themeColor="text1"/>
                <w:lang w:val="en-IE"/>
              </w:rPr>
              <w:t xml:space="preserve">Name of </w:t>
            </w:r>
            <w:r w:rsidRPr="4D76C2C4" w:rsidR="039B8260">
              <w:rPr>
                <w:rFonts w:eastAsiaTheme="minorEastAsia"/>
                <w:b/>
                <w:bCs/>
                <w:color w:val="000000" w:themeColor="text1"/>
                <w:lang w:val="en-IE"/>
              </w:rPr>
              <w:t>In</w:t>
            </w:r>
            <w:r w:rsidRPr="4D76C2C4">
              <w:rPr>
                <w:rFonts w:eastAsiaTheme="minorEastAsia"/>
                <w:b/>
                <w:bCs/>
                <w:color w:val="000000" w:themeColor="text1"/>
                <w:lang w:val="en-IE"/>
              </w:rPr>
              <w:t>stitution</w:t>
            </w:r>
            <w:r w:rsidR="00630B93">
              <w:rPr>
                <w:rFonts w:eastAsiaTheme="minorEastAsia"/>
                <w:b/>
                <w:bCs/>
                <w:color w:val="000000" w:themeColor="text1"/>
                <w:lang w:val="en-IE"/>
              </w:rPr>
              <w:t>/ Organisation</w:t>
            </w:r>
          </w:p>
        </w:tc>
        <w:tc>
          <w:tcPr>
            <w:tcW w:w="7087" w:type="dxa"/>
            <w:tcMar>
              <w:left w:w="105" w:type="dxa"/>
              <w:right w:w="105" w:type="dxa"/>
            </w:tcMar>
          </w:tcPr>
          <w:p w:rsidR="4D76C2C4" w:rsidP="00ED283B" w:rsidRDefault="00A07C23" w14:paraId="2138AF1B" w14:textId="779E314E">
            <w:pPr>
              <w:spacing w:before="80" w:after="80" w:line="259" w:lineRule="auto"/>
              <w:rPr>
                <w:rFonts w:eastAsiaTheme="minorEastAsia"/>
                <w:color w:val="000000" w:themeColor="text1"/>
                <w:lang w:val="en-IE"/>
              </w:rPr>
            </w:pPr>
            <w:r>
              <w:rPr>
                <w:rFonts w:eastAsiaTheme="minorEastAsia"/>
                <w:color w:val="000000" w:themeColor="text1"/>
                <w:lang w:val="en-IE"/>
              </w:rPr>
              <w:t>Munster Technological University</w:t>
            </w:r>
            <w:r w:rsidR="00866D9E">
              <w:rPr>
                <w:rFonts w:eastAsiaTheme="minorEastAsia"/>
                <w:color w:val="000000" w:themeColor="text1"/>
                <w:lang w:val="en-IE"/>
              </w:rPr>
              <w:t xml:space="preserve"> </w:t>
            </w:r>
          </w:p>
        </w:tc>
      </w:tr>
      <w:tr w:rsidR="006A77B1" w:rsidTr="46768E79" w14:paraId="2DF1E18A" w14:textId="77777777">
        <w:trPr>
          <w:trHeight w:val="300"/>
        </w:trPr>
        <w:tc>
          <w:tcPr>
            <w:tcW w:w="2689" w:type="dxa"/>
            <w:tcMar>
              <w:left w:w="105" w:type="dxa"/>
              <w:right w:w="105" w:type="dxa"/>
            </w:tcMar>
          </w:tcPr>
          <w:p w:rsidR="006A77B1" w:rsidP="46768E79" w:rsidRDefault="00D67A21" w14:paraId="1F1FD1C8" w14:textId="5F388AE4" w14:noSpellErr="1">
            <w:pPr>
              <w:rPr>
                <w:rFonts w:eastAsia="" w:eastAsiaTheme="minorEastAsia"/>
                <w:b w:val="1"/>
                <w:bCs w:val="1"/>
              </w:rPr>
            </w:pPr>
            <w:r w:rsidRPr="46768E79" w:rsidR="00D67A21">
              <w:rPr>
                <w:rFonts w:eastAsia="" w:eastAsiaTheme="minorEastAsia"/>
                <w:b w:val="1"/>
                <w:bCs w:val="1"/>
              </w:rPr>
              <w:t xml:space="preserve">Who </w:t>
            </w:r>
            <w:bookmarkStart w:name="_Int_l9mrmeIq" w:id="1837023061"/>
            <w:r w:rsidRPr="46768E79" w:rsidR="00E2480F">
              <w:rPr>
                <w:rFonts w:eastAsia="" w:eastAsiaTheme="minorEastAsia"/>
                <w:b w:val="1"/>
                <w:bCs w:val="1"/>
              </w:rPr>
              <w:t>lead</w:t>
            </w:r>
            <w:bookmarkEnd w:id="1837023061"/>
            <w:r w:rsidRPr="46768E79" w:rsidR="00D67A21">
              <w:rPr>
                <w:rFonts w:eastAsia="" w:eastAsiaTheme="minorEastAsia"/>
                <w:b w:val="1"/>
                <w:bCs w:val="1"/>
              </w:rPr>
              <w:t xml:space="preserve"> the </w:t>
            </w:r>
            <w:r w:rsidRPr="46768E79" w:rsidR="008B3462">
              <w:rPr>
                <w:rFonts w:eastAsia="" w:eastAsiaTheme="minorEastAsia"/>
                <w:b w:val="1"/>
                <w:bCs w:val="1"/>
              </w:rPr>
              <w:t>initiative</w:t>
            </w:r>
            <w:r w:rsidRPr="46768E79" w:rsidR="00642159">
              <w:rPr>
                <w:rFonts w:eastAsia="" w:eastAsiaTheme="minorEastAsia"/>
                <w:b w:val="1"/>
                <w:bCs w:val="1"/>
              </w:rPr>
              <w:t>?</w:t>
            </w:r>
          </w:p>
        </w:tc>
        <w:tc>
          <w:tcPr>
            <w:tcW w:w="7087" w:type="dxa"/>
            <w:tcMar>
              <w:left w:w="105" w:type="dxa"/>
              <w:right w:w="105" w:type="dxa"/>
            </w:tcMar>
          </w:tcPr>
          <w:p w:rsidRPr="0079733A" w:rsidR="0019761B" w:rsidP="00ED283B" w:rsidRDefault="00AF09C2" w14:paraId="22BFAA38" w14:textId="056ED734">
            <w:pPr>
              <w:spacing w:before="80" w:after="80"/>
              <w:rPr>
                <w:rFonts w:eastAsiaTheme="minorEastAsia"/>
                <w:color w:val="3B3838" w:themeColor="background2" w:themeShade="40"/>
                <w:lang w:val="en-IE"/>
              </w:rPr>
            </w:pPr>
            <w:r>
              <w:rPr>
                <w:rFonts w:eastAsiaTheme="minorEastAsia"/>
                <w:color w:val="3B3838" w:themeColor="background2" w:themeShade="40"/>
                <w:lang w:val="en-IE"/>
              </w:rPr>
              <w:t xml:space="preserve">Healthy Campus Research Team within </w:t>
            </w:r>
            <w:r w:rsidR="00BA7F6F">
              <w:rPr>
                <w:rFonts w:eastAsiaTheme="minorEastAsia"/>
                <w:color w:val="3B3838" w:themeColor="background2" w:themeShade="40"/>
                <w:lang w:val="en-IE"/>
              </w:rPr>
              <w:t>the ‘</w:t>
            </w:r>
            <w:r>
              <w:rPr>
                <w:rFonts w:eastAsiaTheme="minorEastAsia"/>
                <w:color w:val="3B3838" w:themeColor="background2" w:themeShade="40"/>
                <w:lang w:val="en-IE"/>
              </w:rPr>
              <w:t>HEX-SPO</w:t>
            </w:r>
            <w:r w:rsidR="00BA7F6F">
              <w:rPr>
                <w:rFonts w:eastAsiaTheme="minorEastAsia"/>
                <w:color w:val="3B3838" w:themeColor="background2" w:themeShade="40"/>
                <w:lang w:val="en-IE"/>
              </w:rPr>
              <w:t>’</w:t>
            </w:r>
            <w:r>
              <w:rPr>
                <w:rFonts w:eastAsiaTheme="minorEastAsia"/>
                <w:color w:val="3B3838" w:themeColor="background2" w:themeShade="40"/>
                <w:lang w:val="en-IE"/>
              </w:rPr>
              <w:t xml:space="preserve"> Research Group (Health, Exercise &amp; Sport Sciences). </w:t>
            </w:r>
            <w:r w:rsidR="00BA7F6F">
              <w:rPr>
                <w:rFonts w:eastAsiaTheme="minorEastAsia"/>
                <w:color w:val="3B3838" w:themeColor="background2" w:themeShade="40"/>
                <w:lang w:val="en-IE"/>
              </w:rPr>
              <w:t>The current case study was implemented</w:t>
            </w:r>
            <w:r>
              <w:rPr>
                <w:rFonts w:eastAsiaTheme="minorEastAsia"/>
                <w:color w:val="3B3838" w:themeColor="background2" w:themeShade="40"/>
                <w:lang w:val="en-IE"/>
              </w:rPr>
              <w:t xml:space="preserve"> by </w:t>
            </w:r>
            <w:r w:rsidR="00BA7F6F">
              <w:rPr>
                <w:rFonts w:eastAsiaTheme="minorEastAsia"/>
                <w:color w:val="3B3838" w:themeColor="background2" w:themeShade="40"/>
                <w:lang w:val="en-IE"/>
              </w:rPr>
              <w:t xml:space="preserve">HEX-SPO </w:t>
            </w:r>
            <w:r>
              <w:rPr>
                <w:rFonts w:eastAsiaTheme="minorEastAsia"/>
                <w:color w:val="3B3838" w:themeColor="background2" w:themeShade="40"/>
                <w:lang w:val="en-IE"/>
              </w:rPr>
              <w:t xml:space="preserve">PhD Candidate Ms Karrie-Marie Mc Carthy. </w:t>
            </w:r>
          </w:p>
        </w:tc>
      </w:tr>
      <w:tr w:rsidR="00CC5F52" w:rsidTr="46768E79" w14:paraId="665536E7" w14:textId="77777777">
        <w:trPr>
          <w:trHeight w:val="300"/>
        </w:trPr>
        <w:tc>
          <w:tcPr>
            <w:tcW w:w="2689" w:type="dxa"/>
            <w:tcMar>
              <w:left w:w="105" w:type="dxa"/>
              <w:right w:w="105" w:type="dxa"/>
            </w:tcMar>
          </w:tcPr>
          <w:p w:rsidR="00CC5F52" w:rsidP="00ED283B" w:rsidRDefault="0079733A" w14:paraId="76F0C221" w14:textId="77777777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Date and timeframe</w:t>
            </w:r>
            <w:r w:rsidR="00827C91">
              <w:rPr>
                <w:rFonts w:eastAsiaTheme="minorEastAsia"/>
                <w:b/>
                <w:bCs/>
              </w:rPr>
              <w:t xml:space="preserve"> of the </w:t>
            </w:r>
            <w:proofErr w:type="gramStart"/>
            <w:r w:rsidR="00827C91">
              <w:rPr>
                <w:rFonts w:eastAsiaTheme="minorEastAsia"/>
                <w:b/>
                <w:bCs/>
              </w:rPr>
              <w:t>initiative</w:t>
            </w:r>
            <w:proofErr w:type="gramEnd"/>
          </w:p>
          <w:p w:rsidR="0054371E" w:rsidP="00ED283B" w:rsidRDefault="0054371E" w14:paraId="3F360BC1" w14:textId="0D5457F7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7087" w:type="dxa"/>
            <w:tcMar>
              <w:left w:w="105" w:type="dxa"/>
              <w:right w:w="105" w:type="dxa"/>
            </w:tcMar>
          </w:tcPr>
          <w:p w:rsidRPr="0079733A" w:rsidR="0079733A" w:rsidP="00ED283B" w:rsidRDefault="00AF09C2" w14:paraId="176DB213" w14:textId="440C0AAF">
            <w:pPr>
              <w:spacing w:before="80" w:after="80"/>
              <w:rPr>
                <w:rFonts w:eastAsiaTheme="minorEastAsia"/>
                <w:color w:val="3B3838" w:themeColor="background2" w:themeShade="40"/>
                <w:lang w:val="en-IE"/>
              </w:rPr>
            </w:pPr>
            <w:r>
              <w:rPr>
                <w:rFonts w:eastAsiaTheme="minorEastAsia"/>
                <w:b/>
                <w:bCs/>
                <w:color w:val="3B3838" w:themeColor="background2" w:themeShade="40"/>
                <w:lang w:val="en-IE"/>
              </w:rPr>
              <w:t>September 2023-April 2024</w:t>
            </w:r>
            <w:r w:rsidR="00F37BF7">
              <w:rPr>
                <w:rFonts w:eastAsiaTheme="minorEastAsia"/>
                <w:color w:val="3B3838" w:themeColor="background2" w:themeShade="40"/>
                <w:lang w:val="en-IE"/>
              </w:rPr>
              <w:t xml:space="preserve"> </w:t>
            </w:r>
          </w:p>
        </w:tc>
      </w:tr>
      <w:tr w:rsidR="0019761B" w:rsidTr="46768E79" w14:paraId="5704C779" w14:textId="77777777">
        <w:trPr>
          <w:trHeight w:val="300"/>
        </w:trPr>
        <w:tc>
          <w:tcPr>
            <w:tcW w:w="2689" w:type="dxa"/>
            <w:tcMar>
              <w:left w:w="105" w:type="dxa"/>
              <w:right w:w="105" w:type="dxa"/>
            </w:tcMar>
          </w:tcPr>
          <w:p w:rsidR="00117183" w:rsidP="00ED283B" w:rsidRDefault="0019761B" w14:paraId="34AEE1FC" w14:textId="1640524E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 xml:space="preserve">What was the reach of the </w:t>
            </w:r>
            <w:r w:rsidR="00117183">
              <w:rPr>
                <w:rFonts w:eastAsiaTheme="minorEastAsia"/>
                <w:b/>
                <w:bCs/>
              </w:rPr>
              <w:t>initiative?</w:t>
            </w:r>
            <w:r>
              <w:rPr>
                <w:rFonts w:eastAsiaTheme="minorEastAsia"/>
                <w:b/>
                <w:bCs/>
              </w:rPr>
              <w:t xml:space="preserve"> </w:t>
            </w:r>
          </w:p>
        </w:tc>
        <w:tc>
          <w:tcPr>
            <w:tcW w:w="7087" w:type="dxa"/>
            <w:tcMar>
              <w:left w:w="105" w:type="dxa"/>
              <w:right w:w="105" w:type="dxa"/>
            </w:tcMar>
          </w:tcPr>
          <w:p w:rsidR="00A74083" w:rsidP="00ED283B" w:rsidRDefault="00AF09C2" w14:paraId="65CA6B66" w14:textId="20D46468">
            <w:pPr>
              <w:spacing w:before="80" w:after="80"/>
              <w:rPr>
                <w:rFonts w:eastAsiaTheme="minorEastAsia"/>
                <w:color w:val="3B3838" w:themeColor="background2" w:themeShade="40"/>
                <w:lang w:val="en-IE"/>
              </w:rPr>
            </w:pPr>
            <w:r>
              <w:rPr>
                <w:rFonts w:eastAsiaTheme="minorEastAsia"/>
                <w:color w:val="3B3838" w:themeColor="background2" w:themeShade="40"/>
                <w:lang w:val="en-IE"/>
              </w:rPr>
              <w:t>All registered Year 1 undergraduate students</w:t>
            </w:r>
            <w:r w:rsidR="00583201">
              <w:rPr>
                <w:rFonts w:eastAsiaTheme="minorEastAsia"/>
                <w:color w:val="3B3838" w:themeColor="background2" w:themeShade="40"/>
                <w:lang w:val="en-IE"/>
              </w:rPr>
              <w:t xml:space="preserve"> across</w:t>
            </w:r>
            <w:r w:rsidR="00992623">
              <w:rPr>
                <w:rFonts w:eastAsiaTheme="minorEastAsia"/>
                <w:color w:val="3B3838" w:themeColor="background2" w:themeShade="40"/>
                <w:lang w:val="en-IE"/>
              </w:rPr>
              <w:t xml:space="preserve"> six campuses</w:t>
            </w:r>
            <w:r w:rsidR="00E2480F">
              <w:rPr>
                <w:rFonts w:eastAsiaTheme="minorEastAsia"/>
                <w:color w:val="3B3838" w:themeColor="background2" w:themeShade="40"/>
                <w:lang w:val="en-IE"/>
              </w:rPr>
              <w:t xml:space="preserve"> </w:t>
            </w:r>
            <w:r w:rsidR="007219EF">
              <w:rPr>
                <w:rFonts w:eastAsiaTheme="minorEastAsia"/>
                <w:color w:val="3B3838" w:themeColor="background2" w:themeShade="40"/>
                <w:lang w:val="en-IE"/>
              </w:rPr>
              <w:t xml:space="preserve">of </w:t>
            </w:r>
            <w:r>
              <w:rPr>
                <w:rFonts w:eastAsiaTheme="minorEastAsia"/>
                <w:color w:val="3B3838" w:themeColor="background2" w:themeShade="40"/>
                <w:lang w:val="en-IE"/>
              </w:rPr>
              <w:t>the</w:t>
            </w:r>
            <w:r w:rsidR="007219EF">
              <w:rPr>
                <w:rFonts w:eastAsiaTheme="minorEastAsia"/>
                <w:color w:val="3B3838" w:themeColor="background2" w:themeShade="40"/>
                <w:lang w:val="en-IE"/>
              </w:rPr>
              <w:t xml:space="preserve"> multi-campus University</w:t>
            </w:r>
            <w:r>
              <w:rPr>
                <w:rFonts w:eastAsiaTheme="minorEastAsia"/>
                <w:color w:val="3B3838" w:themeColor="background2" w:themeShade="40"/>
                <w:lang w:val="en-IE"/>
              </w:rPr>
              <w:t xml:space="preserve"> were contacted to participate in a bespoke ‘health and wellbeing’ survey. The aim of the survey was to examine </w:t>
            </w:r>
            <w:r w:rsidR="00B91D60">
              <w:rPr>
                <w:rFonts w:eastAsiaTheme="minorEastAsia"/>
                <w:color w:val="3B3838" w:themeColor="background2" w:themeShade="40"/>
                <w:lang w:val="en-IE"/>
              </w:rPr>
              <w:t>dietary behaviours, health parameters, and alcohol consumption patterns</w:t>
            </w:r>
            <w:r>
              <w:rPr>
                <w:rFonts w:eastAsiaTheme="minorEastAsia"/>
                <w:color w:val="3B3838" w:themeColor="background2" w:themeShade="40"/>
                <w:lang w:val="en-IE"/>
              </w:rPr>
              <w:t xml:space="preserve"> of students during the critical transition to higher education. The survey was disseminated during two successive academic years, as follows:  </w:t>
            </w:r>
            <w:r w:rsidR="00866D9E">
              <w:rPr>
                <w:rFonts w:eastAsiaTheme="minorEastAsia"/>
                <w:color w:val="3B3838" w:themeColor="background2" w:themeShade="40"/>
                <w:lang w:val="en-IE"/>
              </w:rPr>
              <w:t xml:space="preserve"> </w:t>
            </w:r>
          </w:p>
          <w:p w:rsidRPr="009E1C2E" w:rsidR="00A74083" w:rsidP="00ED283B" w:rsidRDefault="00AF09C2" w14:paraId="5BC207D5" w14:textId="13F21ECE">
            <w:pPr>
              <w:spacing w:before="80" w:after="80"/>
              <w:rPr>
                <w:rFonts w:eastAsiaTheme="minorEastAsia"/>
                <w:b/>
                <w:bCs/>
                <w:color w:val="3B3838" w:themeColor="background2" w:themeShade="40"/>
                <w:lang w:val="en-IE"/>
              </w:rPr>
            </w:pPr>
            <w:r>
              <w:rPr>
                <w:rFonts w:eastAsiaTheme="minorEastAsia"/>
                <w:b/>
                <w:bCs/>
                <w:color w:val="3B3838" w:themeColor="background2" w:themeShade="40"/>
                <w:lang w:val="en-IE"/>
              </w:rPr>
              <w:t>2022/2023: (</w:t>
            </w:r>
            <w:r w:rsidRPr="00A74083" w:rsidR="00A74083">
              <w:rPr>
                <w:rFonts w:eastAsiaTheme="minorEastAsia"/>
                <w:b/>
                <w:bCs/>
                <w:color w:val="3B3838" w:themeColor="background2" w:themeShade="40"/>
                <w:lang w:val="en-IE"/>
              </w:rPr>
              <w:t>Wave 1</w:t>
            </w:r>
            <w:r>
              <w:rPr>
                <w:rFonts w:eastAsiaTheme="minorEastAsia"/>
                <w:b/>
                <w:bCs/>
                <w:color w:val="3B3838" w:themeColor="background2" w:themeShade="40"/>
                <w:lang w:val="en-IE"/>
              </w:rPr>
              <w:t>)</w:t>
            </w:r>
            <w:r w:rsidRPr="00A74083" w:rsidR="00E2480F">
              <w:rPr>
                <w:rFonts w:eastAsiaTheme="minorEastAsia"/>
                <w:b/>
                <w:bCs/>
                <w:color w:val="3B3838" w:themeColor="background2" w:themeShade="40"/>
                <w:lang w:val="en-IE"/>
              </w:rPr>
              <w:t xml:space="preserve"> Target</w:t>
            </w:r>
            <w:r w:rsidRPr="00A74083" w:rsidR="00A74083">
              <w:rPr>
                <w:rFonts w:eastAsiaTheme="minorEastAsia"/>
                <w:b/>
                <w:bCs/>
                <w:color w:val="3B3838" w:themeColor="background2" w:themeShade="40"/>
                <w:lang w:val="en-IE"/>
              </w:rPr>
              <w:t xml:space="preserve">: </w:t>
            </w:r>
            <w:r w:rsidRPr="00381475" w:rsidR="00381475">
              <w:rPr>
                <w:rFonts w:eastAsiaTheme="minorEastAsia"/>
                <w:color w:val="3B3838" w:themeColor="background2" w:themeShade="40"/>
                <w:lang w:val="en-IE"/>
              </w:rPr>
              <w:t>5,077</w:t>
            </w:r>
            <w:r w:rsidR="004973B1">
              <w:rPr>
                <w:rFonts w:eastAsiaTheme="minorEastAsia"/>
                <w:color w:val="3B3838" w:themeColor="background2" w:themeShade="40"/>
                <w:lang w:val="en-IE"/>
              </w:rPr>
              <w:t xml:space="preserve"> </w:t>
            </w:r>
            <w:r w:rsidRPr="009E1C2E" w:rsidR="009E1C2E">
              <w:rPr>
                <w:rFonts w:eastAsiaTheme="minorEastAsia"/>
                <w:b/>
                <w:bCs/>
                <w:color w:val="3B3838" w:themeColor="background2" w:themeShade="40"/>
                <w:lang w:val="en-IE"/>
              </w:rPr>
              <w:t>Reach:</w:t>
            </w:r>
            <w:r w:rsidR="009E1C2E">
              <w:rPr>
                <w:rFonts w:eastAsiaTheme="minorEastAsia"/>
                <w:color w:val="3B3838" w:themeColor="background2" w:themeShade="40"/>
                <w:lang w:val="en-IE"/>
              </w:rPr>
              <w:t xml:space="preserve"> </w:t>
            </w:r>
            <w:r w:rsidR="00DB61FB">
              <w:rPr>
                <w:rFonts w:eastAsiaTheme="minorEastAsia"/>
                <w:color w:val="3B3838" w:themeColor="background2" w:themeShade="40"/>
                <w:lang w:val="en-IE"/>
              </w:rPr>
              <w:t>330</w:t>
            </w:r>
            <w:r w:rsidR="00790AA3">
              <w:rPr>
                <w:rFonts w:eastAsiaTheme="minorEastAsia"/>
                <w:color w:val="3B3838" w:themeColor="background2" w:themeShade="40"/>
                <w:lang w:val="en-IE"/>
              </w:rPr>
              <w:t xml:space="preserve"> (</w:t>
            </w:r>
            <w:r w:rsidR="00DB61FB">
              <w:rPr>
                <w:rFonts w:eastAsiaTheme="minorEastAsia"/>
                <w:color w:val="3B3838" w:themeColor="background2" w:themeShade="40"/>
                <w:lang w:val="en-IE"/>
              </w:rPr>
              <w:t>6.5</w:t>
            </w:r>
            <w:r w:rsidR="00790AA3">
              <w:rPr>
                <w:rFonts w:eastAsiaTheme="minorEastAsia"/>
                <w:color w:val="3B3838" w:themeColor="background2" w:themeShade="40"/>
                <w:lang w:val="en-IE"/>
              </w:rPr>
              <w:t>%)</w:t>
            </w:r>
          </w:p>
          <w:p w:rsidRPr="00174767" w:rsidR="0019761B" w:rsidP="00ED283B" w:rsidRDefault="00AF09C2" w14:paraId="3420525F" w14:textId="1A046CAB">
            <w:pPr>
              <w:spacing w:before="80" w:after="80"/>
              <w:rPr>
                <w:rFonts w:eastAsiaTheme="minorEastAsia"/>
                <w:b/>
                <w:bCs/>
                <w:color w:val="3B3838" w:themeColor="background2" w:themeShade="40"/>
                <w:lang w:val="en-IE"/>
              </w:rPr>
            </w:pPr>
            <w:r>
              <w:rPr>
                <w:rFonts w:eastAsiaTheme="minorEastAsia"/>
                <w:b/>
                <w:bCs/>
                <w:color w:val="3B3838" w:themeColor="background2" w:themeShade="40"/>
                <w:lang w:val="en-IE"/>
              </w:rPr>
              <w:t>2023/2024: (</w:t>
            </w:r>
            <w:r w:rsidRPr="004973B1" w:rsidR="004973B1">
              <w:rPr>
                <w:rFonts w:eastAsiaTheme="minorEastAsia"/>
                <w:b/>
                <w:bCs/>
                <w:color w:val="3B3838" w:themeColor="background2" w:themeShade="40"/>
                <w:lang w:val="en-IE"/>
              </w:rPr>
              <w:t>Wave 2</w:t>
            </w:r>
            <w:r>
              <w:rPr>
                <w:rFonts w:eastAsiaTheme="minorEastAsia"/>
                <w:b/>
                <w:bCs/>
                <w:color w:val="3B3838" w:themeColor="background2" w:themeShade="40"/>
                <w:lang w:val="en-IE"/>
              </w:rPr>
              <w:t>)</w:t>
            </w:r>
            <w:r w:rsidRPr="004973B1" w:rsidR="004973B1">
              <w:rPr>
                <w:rFonts w:eastAsiaTheme="minorEastAsia"/>
                <w:b/>
                <w:bCs/>
                <w:color w:val="3B3838" w:themeColor="background2" w:themeShade="40"/>
                <w:lang w:val="en-IE"/>
              </w:rPr>
              <w:t xml:space="preserve"> Target:</w:t>
            </w:r>
            <w:r w:rsidR="004973B1">
              <w:rPr>
                <w:rFonts w:eastAsiaTheme="minorEastAsia"/>
                <w:color w:val="3B3838" w:themeColor="background2" w:themeShade="40"/>
                <w:lang w:val="en-IE"/>
              </w:rPr>
              <w:t xml:space="preserve"> 4,969</w:t>
            </w:r>
            <w:r w:rsidR="009E1C2E">
              <w:rPr>
                <w:rFonts w:eastAsiaTheme="minorEastAsia"/>
                <w:color w:val="3B3838" w:themeColor="background2" w:themeShade="40"/>
                <w:lang w:val="en-IE"/>
              </w:rPr>
              <w:t xml:space="preserve"> </w:t>
            </w:r>
            <w:r w:rsidRPr="009E1C2E" w:rsidR="009E1C2E">
              <w:rPr>
                <w:rFonts w:eastAsiaTheme="minorEastAsia"/>
                <w:b/>
                <w:bCs/>
                <w:color w:val="3B3838" w:themeColor="background2" w:themeShade="40"/>
                <w:lang w:val="en-IE"/>
              </w:rPr>
              <w:t>Reach:</w:t>
            </w:r>
            <w:r w:rsidR="009E1C2E">
              <w:rPr>
                <w:rFonts w:eastAsiaTheme="minorEastAsia"/>
                <w:color w:val="3B3838" w:themeColor="background2" w:themeShade="40"/>
                <w:lang w:val="en-IE"/>
              </w:rPr>
              <w:t xml:space="preserve"> 1,</w:t>
            </w:r>
            <w:r w:rsidR="00D46C5E">
              <w:rPr>
                <w:rFonts w:eastAsiaTheme="minorEastAsia"/>
                <w:color w:val="3B3838" w:themeColor="background2" w:themeShade="40"/>
                <w:lang w:val="en-IE"/>
              </w:rPr>
              <w:t>580</w:t>
            </w:r>
            <w:r w:rsidR="006F0B9D">
              <w:rPr>
                <w:rFonts w:eastAsiaTheme="minorEastAsia"/>
                <w:color w:val="3B3838" w:themeColor="background2" w:themeShade="40"/>
                <w:lang w:val="en-IE"/>
              </w:rPr>
              <w:t xml:space="preserve"> </w:t>
            </w:r>
            <w:r w:rsidR="00790AA3">
              <w:rPr>
                <w:rFonts w:eastAsiaTheme="minorEastAsia"/>
                <w:color w:val="3B3838" w:themeColor="background2" w:themeShade="40"/>
                <w:lang w:val="en-IE"/>
              </w:rPr>
              <w:t>(3</w:t>
            </w:r>
            <w:r w:rsidR="00F36C18">
              <w:rPr>
                <w:rFonts w:eastAsiaTheme="minorEastAsia"/>
                <w:color w:val="3B3838" w:themeColor="background2" w:themeShade="40"/>
                <w:lang w:val="en-IE"/>
              </w:rPr>
              <w:t>1</w:t>
            </w:r>
            <w:r w:rsidR="00790AA3">
              <w:rPr>
                <w:rFonts w:eastAsiaTheme="minorEastAsia"/>
                <w:color w:val="3B3838" w:themeColor="background2" w:themeShade="40"/>
                <w:lang w:val="en-IE"/>
              </w:rPr>
              <w:t>.</w:t>
            </w:r>
            <w:r w:rsidR="00F36C18">
              <w:rPr>
                <w:rFonts w:eastAsiaTheme="minorEastAsia"/>
                <w:color w:val="3B3838" w:themeColor="background2" w:themeShade="40"/>
                <w:lang w:val="en-IE"/>
              </w:rPr>
              <w:t>8%</w:t>
            </w:r>
            <w:r w:rsidR="00790AA3">
              <w:rPr>
                <w:rFonts w:eastAsiaTheme="minorEastAsia"/>
                <w:color w:val="3B3838" w:themeColor="background2" w:themeShade="40"/>
                <w:lang w:val="en-IE"/>
              </w:rPr>
              <w:t xml:space="preserve">) </w:t>
            </w:r>
          </w:p>
        </w:tc>
      </w:tr>
      <w:tr w:rsidR="4D76C2C4" w:rsidTr="46768E79" w14:paraId="4FB53F00" w14:textId="77777777">
        <w:trPr>
          <w:trHeight w:val="300"/>
        </w:trPr>
        <w:tc>
          <w:tcPr>
            <w:tcW w:w="2689" w:type="dxa"/>
            <w:tcMar>
              <w:left w:w="105" w:type="dxa"/>
              <w:right w:w="105" w:type="dxa"/>
            </w:tcMar>
          </w:tcPr>
          <w:p w:rsidR="6859D84D" w:rsidP="00ED283B" w:rsidRDefault="00917993" w14:paraId="649646B3" w14:textId="58191D59">
            <w:pPr>
              <w:spacing w:after="160" w:line="259" w:lineRule="auto"/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Initiative</w:t>
            </w:r>
            <w:r w:rsidRPr="4D76C2C4" w:rsidR="6859D84D">
              <w:rPr>
                <w:rFonts w:eastAsiaTheme="minorEastAsia"/>
                <w:b/>
                <w:bCs/>
              </w:rPr>
              <w:t xml:space="preserve"> Title </w:t>
            </w:r>
          </w:p>
          <w:p w:rsidR="4D76C2C4" w:rsidP="00ED283B" w:rsidRDefault="4D76C2C4" w14:paraId="4FB4210B" w14:textId="5CB222CA">
            <w:pPr>
              <w:spacing w:before="80" w:after="80" w:line="259" w:lineRule="auto"/>
              <w:rPr>
                <w:rFonts w:eastAsiaTheme="minorEastAsia"/>
                <w:b/>
                <w:bCs/>
                <w:color w:val="000000" w:themeColor="text1"/>
                <w:lang w:val="en-IE"/>
              </w:rPr>
            </w:pPr>
          </w:p>
        </w:tc>
        <w:tc>
          <w:tcPr>
            <w:tcW w:w="7087" w:type="dxa"/>
            <w:tcMar>
              <w:left w:w="105" w:type="dxa"/>
              <w:right w:w="105" w:type="dxa"/>
            </w:tcMar>
          </w:tcPr>
          <w:p w:rsidRPr="00375AFB" w:rsidR="4D76C2C4" w:rsidP="46768E79" w:rsidRDefault="00B91D60" w14:paraId="14D6ABA7" w14:textId="3E0089C7">
            <w:pPr>
              <w:spacing w:before="80" w:after="80" w:line="259" w:lineRule="auto"/>
              <w:rPr>
                <w:rFonts w:eastAsia="" w:eastAsiaTheme="minorEastAsia"/>
                <w:i w:val="1"/>
                <w:iCs w:val="1"/>
                <w:color w:val="3B3838" w:themeColor="background2" w:themeShade="40"/>
                <w:lang w:val="en-IE"/>
              </w:rPr>
            </w:pPr>
            <w:r w:rsidRPr="46768E79" w:rsidR="00B91D60">
              <w:rPr>
                <w:rFonts w:eastAsia="" w:eastAsiaTheme="minorEastAsia"/>
                <w:i w:val="1"/>
                <w:iCs w:val="1"/>
                <w:color w:val="3B3838" w:themeColor="background2" w:themeTint="FF" w:themeShade="40"/>
                <w:lang w:val="en-IE"/>
              </w:rPr>
              <w:t xml:space="preserve">‘A Healthy MTU’: An Investigation into the Dietary Behaviours </w:t>
            </w:r>
            <w:r w:rsidRPr="46768E79" w:rsidR="4A8982D8">
              <w:rPr>
                <w:rFonts w:eastAsia="" w:eastAsiaTheme="minorEastAsia"/>
                <w:i w:val="1"/>
                <w:iCs w:val="1"/>
                <w:color w:val="3B3838" w:themeColor="background2" w:themeTint="FF" w:themeShade="40"/>
                <w:lang w:val="en-IE"/>
              </w:rPr>
              <w:t xml:space="preserve">&amp; </w:t>
            </w:r>
            <w:r w:rsidRPr="46768E79" w:rsidR="00B91D60">
              <w:rPr>
                <w:rFonts w:eastAsia="" w:eastAsiaTheme="minorEastAsia"/>
                <w:i w:val="1"/>
                <w:iCs w:val="1"/>
                <w:color w:val="3B3838" w:themeColor="background2" w:themeTint="FF" w:themeShade="40"/>
                <w:lang w:val="en-IE"/>
              </w:rPr>
              <w:t xml:space="preserve">Alcohol Consumption Patterns of First Year Undergraduate Students During the Transition to Higher Education. </w:t>
            </w:r>
          </w:p>
        </w:tc>
      </w:tr>
      <w:tr w:rsidR="4D76C2C4" w:rsidTr="46768E79" w14:paraId="28715E12" w14:textId="77777777">
        <w:trPr>
          <w:trHeight w:val="300"/>
        </w:trPr>
        <w:tc>
          <w:tcPr>
            <w:tcW w:w="2689" w:type="dxa"/>
            <w:tcMar>
              <w:left w:w="105" w:type="dxa"/>
              <w:right w:w="105" w:type="dxa"/>
            </w:tcMar>
          </w:tcPr>
          <w:p w:rsidR="4D76C2C4" w:rsidP="00ED283B" w:rsidRDefault="4D76C2C4" w14:paraId="5F9B38A7" w14:textId="2F7AFA1B">
            <w:pPr>
              <w:spacing w:line="259" w:lineRule="auto"/>
              <w:rPr>
                <w:rFonts w:eastAsiaTheme="minorEastAsia"/>
                <w:b/>
                <w:bCs/>
              </w:rPr>
            </w:pPr>
            <w:r w:rsidRPr="4D76C2C4">
              <w:rPr>
                <w:rFonts w:eastAsiaTheme="minorEastAsia"/>
                <w:b/>
                <w:bCs/>
              </w:rPr>
              <w:t>Aims/ Objectives</w:t>
            </w:r>
          </w:p>
          <w:p w:rsidR="4D76C2C4" w:rsidP="00ED283B" w:rsidRDefault="4D76C2C4" w14:paraId="6E4D5BEB" w14:textId="4348CAC4">
            <w:pPr>
              <w:spacing w:line="259" w:lineRule="auto"/>
              <w:rPr>
                <w:rFonts w:eastAsiaTheme="minorEastAsia"/>
                <w:b/>
                <w:bCs/>
              </w:rPr>
            </w:pPr>
          </w:p>
          <w:p w:rsidR="4D76C2C4" w:rsidP="00ED283B" w:rsidRDefault="4D76C2C4" w14:paraId="056BD0B0" w14:textId="4CC3BB8A">
            <w:pPr>
              <w:spacing w:line="259" w:lineRule="auto"/>
              <w:rPr>
                <w:rFonts w:eastAsiaTheme="minorEastAsia"/>
                <w:b/>
                <w:bCs/>
              </w:rPr>
            </w:pPr>
          </w:p>
        </w:tc>
        <w:tc>
          <w:tcPr>
            <w:tcW w:w="7087" w:type="dxa"/>
            <w:tcMar>
              <w:left w:w="105" w:type="dxa"/>
              <w:right w:w="105" w:type="dxa"/>
            </w:tcMar>
          </w:tcPr>
          <w:p w:rsidRPr="00FA01E5" w:rsidR="6943DD51" w:rsidP="00ED283B" w:rsidRDefault="00237ADD" w14:paraId="5078B1CF" w14:textId="585C549E">
            <w:pPr>
              <w:rPr>
                <w:shd w:val="clear" w:color="auto" w:fill="FFFFFF"/>
              </w:rPr>
            </w:pPr>
            <w:r>
              <w:rPr>
                <w:rStyle w:val="normaltextrun"/>
                <w:shd w:val="clear" w:color="auto" w:fill="FFFFFF"/>
              </w:rPr>
              <w:t xml:space="preserve">Aligned with a broader ‘Healthy Campus’ entity, the current </w:t>
            </w:r>
            <w:r w:rsidR="007C6171">
              <w:rPr>
                <w:rStyle w:val="normaltextrun"/>
                <w:shd w:val="clear" w:color="auto" w:fill="FFFFFF"/>
              </w:rPr>
              <w:t xml:space="preserve">case </w:t>
            </w:r>
            <w:r w:rsidRPr="002E7935">
              <w:rPr>
                <w:rStyle w:val="normaltextrun"/>
                <w:shd w:val="clear" w:color="auto" w:fill="FFFFFF"/>
              </w:rPr>
              <w:t xml:space="preserve">study aimed to </w:t>
            </w:r>
            <w:r>
              <w:rPr>
                <w:rStyle w:val="normaltextrun"/>
                <w:shd w:val="clear" w:color="auto" w:fill="FFFFFF"/>
              </w:rPr>
              <w:t>examine self-reported</w:t>
            </w:r>
            <w:r w:rsidRPr="002E7935">
              <w:rPr>
                <w:rStyle w:val="normaltextrun"/>
                <w:shd w:val="clear" w:color="auto" w:fill="FFFFFF"/>
              </w:rPr>
              <w:t xml:space="preserve"> dietary behaviours and alcohol consumption patterns </w:t>
            </w:r>
            <w:r>
              <w:rPr>
                <w:rStyle w:val="normaltextrun"/>
                <w:shd w:val="clear" w:color="auto" w:fill="FFFFFF"/>
              </w:rPr>
              <w:t>amongst</w:t>
            </w:r>
            <w:r w:rsidRPr="002E7935">
              <w:rPr>
                <w:rStyle w:val="normaltextrun"/>
                <w:shd w:val="clear" w:color="auto" w:fill="FFFFFF"/>
              </w:rPr>
              <w:t xml:space="preserve"> Year 1 undergraduate</w:t>
            </w:r>
            <w:r>
              <w:rPr>
                <w:rStyle w:val="normaltextrun"/>
                <w:shd w:val="clear" w:color="auto" w:fill="FFFFFF"/>
              </w:rPr>
              <w:t xml:space="preserve"> students</w:t>
            </w:r>
            <w:r w:rsidRPr="002E7935">
              <w:rPr>
                <w:rStyle w:val="normaltextrun"/>
                <w:shd w:val="clear" w:color="auto" w:fill="FFFFFF"/>
              </w:rPr>
              <w:t xml:space="preserve"> in a multi-campus University </w:t>
            </w:r>
            <w:r>
              <w:rPr>
                <w:rStyle w:val="normaltextrun"/>
                <w:shd w:val="clear" w:color="auto" w:fill="FFFFFF"/>
              </w:rPr>
              <w:t>in Ireland</w:t>
            </w:r>
            <w:r w:rsidRPr="002E7935">
              <w:rPr>
                <w:rStyle w:val="normaltextrun"/>
                <w:shd w:val="clear" w:color="auto" w:fill="FFFFFF"/>
              </w:rPr>
              <w:t>.</w:t>
            </w:r>
          </w:p>
        </w:tc>
      </w:tr>
      <w:tr w:rsidR="4D76C2C4" w:rsidTr="46768E79" w14:paraId="4B50D7CE" w14:textId="77777777">
        <w:trPr>
          <w:trHeight w:val="300"/>
        </w:trPr>
        <w:tc>
          <w:tcPr>
            <w:tcW w:w="2689" w:type="dxa"/>
            <w:tcMar>
              <w:left w:w="105" w:type="dxa"/>
              <w:right w:w="105" w:type="dxa"/>
            </w:tcMar>
          </w:tcPr>
          <w:p w:rsidR="006A77B1" w:rsidP="00ED283B" w:rsidRDefault="00FC64C1" w14:paraId="53D6136F" w14:textId="5B11DE79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The rationale</w:t>
            </w:r>
            <w:r w:rsidRPr="4D76C2C4" w:rsidR="006A77B1">
              <w:rPr>
                <w:rFonts w:eastAsiaTheme="minorEastAsia"/>
                <w:b/>
                <w:bCs/>
              </w:rPr>
              <w:t xml:space="preserve"> for the action, including any identified health </w:t>
            </w:r>
            <w:proofErr w:type="gramStart"/>
            <w:r w:rsidRPr="4D76C2C4" w:rsidR="008D7D1D">
              <w:rPr>
                <w:rFonts w:eastAsiaTheme="minorEastAsia"/>
                <w:b/>
                <w:bCs/>
              </w:rPr>
              <w:t>needs</w:t>
            </w:r>
            <w:proofErr w:type="gramEnd"/>
          </w:p>
          <w:p w:rsidR="4D76C2C4" w:rsidP="00ED283B" w:rsidRDefault="4D76C2C4" w14:paraId="7D77F55A" w14:textId="21CD62B3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7087" w:type="dxa"/>
            <w:tcMar>
              <w:left w:w="105" w:type="dxa"/>
              <w:right w:w="105" w:type="dxa"/>
            </w:tcMar>
          </w:tcPr>
          <w:p w:rsidRPr="005E31A7" w:rsidR="00820CEC" w:rsidP="00D03260" w:rsidRDefault="00814D7F" w14:paraId="13319B1E" w14:textId="3068DB75">
            <w:pPr>
              <w:spacing w:line="259" w:lineRule="auto"/>
              <w:jc w:val="both"/>
              <w:rPr>
                <w:rFonts w:cstheme="minorHAnsi"/>
                <w:shd w:val="clear" w:color="auto" w:fill="FFFFFF"/>
              </w:rPr>
            </w:pPr>
            <w:r>
              <w:rPr>
                <w:rStyle w:val="normaltextrun"/>
                <w:rFonts w:cstheme="minorHAnsi"/>
                <w:shd w:val="clear" w:color="auto" w:fill="FFFFFF"/>
              </w:rPr>
              <w:t xml:space="preserve">Empirical evidence indicates that </w:t>
            </w:r>
            <w:r w:rsidR="001C688A">
              <w:rPr>
                <w:rStyle w:val="normaltextrun"/>
                <w:rFonts w:cstheme="minorHAnsi"/>
                <w:shd w:val="clear" w:color="auto" w:fill="FFFFFF"/>
              </w:rPr>
              <w:t xml:space="preserve">young adults </w:t>
            </w:r>
            <w:r w:rsidR="00820CEC">
              <w:rPr>
                <w:rStyle w:val="normaltextrun"/>
                <w:rFonts w:cstheme="minorHAnsi"/>
                <w:shd w:val="clear" w:color="auto" w:fill="FFFFFF"/>
              </w:rPr>
              <w:t>may exhibit</w:t>
            </w:r>
            <w:r w:rsidR="001C688A">
              <w:rPr>
                <w:rStyle w:val="normaltextrun"/>
                <w:rFonts w:cstheme="minorHAnsi"/>
                <w:shd w:val="clear" w:color="auto" w:fill="FFFFFF"/>
              </w:rPr>
              <w:t xml:space="preserve"> sub-optimal dietary behaviours </w:t>
            </w:r>
            <w:r w:rsidR="005C6365">
              <w:rPr>
                <w:rStyle w:val="normaltextrun"/>
                <w:rFonts w:cstheme="minorHAnsi"/>
                <w:shd w:val="clear" w:color="auto" w:fill="FFFFFF"/>
              </w:rPr>
              <w:t>(</w:t>
            </w:r>
            <w:r w:rsidR="001C688A">
              <w:rPr>
                <w:rStyle w:val="normaltextrun"/>
                <w:rFonts w:cstheme="minorHAnsi"/>
                <w:shd w:val="clear" w:color="auto" w:fill="FFFFFF"/>
              </w:rPr>
              <w:t>such as insufficient fruit and vegetable intake and infrequent breakfast consumption</w:t>
            </w:r>
            <w:r w:rsidR="00820CEC">
              <w:rPr>
                <w:rStyle w:val="normaltextrun"/>
                <w:rFonts w:cstheme="minorHAnsi"/>
                <w:shd w:val="clear" w:color="auto" w:fill="FFFFFF"/>
              </w:rPr>
              <w:t>) and</w:t>
            </w:r>
            <w:r w:rsidR="001C688A">
              <w:rPr>
                <w:rStyle w:val="normaltextrun"/>
                <w:rFonts w:cstheme="minorHAnsi"/>
                <w:shd w:val="clear" w:color="auto" w:fill="FFFFFF"/>
              </w:rPr>
              <w:t xml:space="preserve"> </w:t>
            </w:r>
            <w:r w:rsidR="00820CEC">
              <w:rPr>
                <w:rStyle w:val="normaltextrun"/>
                <w:rFonts w:cstheme="minorHAnsi"/>
                <w:shd w:val="clear" w:color="auto" w:fill="FFFFFF"/>
              </w:rPr>
              <w:t xml:space="preserve">engage in </w:t>
            </w:r>
            <w:r w:rsidR="001C688A">
              <w:rPr>
                <w:rStyle w:val="normaltextrun"/>
                <w:rFonts w:cstheme="minorHAnsi"/>
                <w:shd w:val="clear" w:color="auto" w:fill="FFFFFF"/>
              </w:rPr>
              <w:t xml:space="preserve">hazardous alcohol consumption </w:t>
            </w:r>
            <w:r w:rsidR="00820CEC">
              <w:rPr>
                <w:rStyle w:val="normaltextrun"/>
                <w:rFonts w:cstheme="minorHAnsi"/>
                <w:shd w:val="clear" w:color="auto" w:fill="FFFFFF"/>
              </w:rPr>
              <w:t xml:space="preserve">during </w:t>
            </w:r>
            <w:r w:rsidR="001C688A">
              <w:rPr>
                <w:rStyle w:val="normaltextrun"/>
                <w:rFonts w:cstheme="minorHAnsi"/>
                <w:shd w:val="clear" w:color="auto" w:fill="FFFFFF"/>
              </w:rPr>
              <w:t xml:space="preserve">the transition </w:t>
            </w:r>
            <w:r w:rsidR="007B6D1C">
              <w:rPr>
                <w:rStyle w:val="normaltextrun"/>
                <w:rFonts w:cstheme="minorHAnsi"/>
                <w:shd w:val="clear" w:color="auto" w:fill="FFFFFF"/>
              </w:rPr>
              <w:t>to higher education</w:t>
            </w:r>
            <w:r w:rsidR="00C31B8D">
              <w:rPr>
                <w:rStyle w:val="normaltextrun"/>
                <w:rFonts w:cstheme="minorHAnsi"/>
                <w:shd w:val="clear" w:color="auto" w:fill="FFFFFF"/>
              </w:rPr>
              <w:t xml:space="preserve"> (</w:t>
            </w:r>
            <w:proofErr w:type="spellStart"/>
            <w:r w:rsidR="00C31B8D">
              <w:rPr>
                <w:rStyle w:val="normaltextrun"/>
                <w:rFonts w:cstheme="minorHAnsi"/>
                <w:shd w:val="clear" w:color="auto" w:fill="FFFFFF"/>
              </w:rPr>
              <w:t>Deforche</w:t>
            </w:r>
            <w:proofErr w:type="spellEnd"/>
            <w:r w:rsidR="00590087">
              <w:rPr>
                <w:rStyle w:val="normaltextrun"/>
                <w:rFonts w:cstheme="minorHAnsi"/>
                <w:shd w:val="clear" w:color="auto" w:fill="FFFFFF"/>
              </w:rPr>
              <w:t xml:space="preserve"> et al.</w:t>
            </w:r>
            <w:r w:rsidR="00EA11F5">
              <w:rPr>
                <w:rStyle w:val="normaltextrun"/>
                <w:rFonts w:cstheme="minorHAnsi"/>
                <w:shd w:val="clear" w:color="auto" w:fill="FFFFFF"/>
              </w:rPr>
              <w:t>,</w:t>
            </w:r>
            <w:r w:rsidR="00590087">
              <w:rPr>
                <w:rStyle w:val="normaltextrun"/>
                <w:rFonts w:cstheme="minorHAnsi"/>
                <w:shd w:val="clear" w:color="auto" w:fill="FFFFFF"/>
              </w:rPr>
              <w:t xml:space="preserve"> 2015</w:t>
            </w:r>
            <w:r w:rsidR="004138A0">
              <w:rPr>
                <w:rStyle w:val="normaltextrun"/>
                <w:rFonts w:cstheme="minorHAnsi"/>
                <w:shd w:val="clear" w:color="auto" w:fill="FFFFFF"/>
              </w:rPr>
              <w:t>; Niba</w:t>
            </w:r>
            <w:r w:rsidR="00144346">
              <w:rPr>
                <w:rStyle w:val="normaltextrun"/>
                <w:rFonts w:cstheme="minorHAnsi"/>
                <w:shd w:val="clear" w:color="auto" w:fill="FFFFFF"/>
              </w:rPr>
              <w:t xml:space="preserve"> et al., 2017</w:t>
            </w:r>
            <w:r w:rsidR="00590087">
              <w:rPr>
                <w:rStyle w:val="normaltextrun"/>
                <w:rFonts w:cstheme="minorHAnsi"/>
                <w:shd w:val="clear" w:color="auto" w:fill="FFFFFF"/>
              </w:rPr>
              <w:t xml:space="preserve">). </w:t>
            </w:r>
            <w:r w:rsidR="00820CEC">
              <w:rPr>
                <w:rStyle w:val="normaltextrun"/>
                <w:rFonts w:cstheme="minorHAnsi"/>
                <w:shd w:val="clear" w:color="auto" w:fill="FFFFFF"/>
              </w:rPr>
              <w:t xml:space="preserve">From a </w:t>
            </w:r>
            <w:proofErr w:type="spellStart"/>
            <w:r w:rsidR="00820CEC">
              <w:rPr>
                <w:rStyle w:val="normaltextrun"/>
                <w:rFonts w:cstheme="minorHAnsi"/>
                <w:shd w:val="clear" w:color="auto" w:fill="FFFFFF"/>
              </w:rPr>
              <w:t>salutogenic</w:t>
            </w:r>
            <w:proofErr w:type="spellEnd"/>
            <w:r w:rsidR="00820CEC">
              <w:rPr>
                <w:rStyle w:val="normaltextrun"/>
                <w:rFonts w:cstheme="minorHAnsi"/>
                <w:shd w:val="clear" w:color="auto" w:fill="FFFFFF"/>
              </w:rPr>
              <w:t xml:space="preserve"> perspective, higher education</w:t>
            </w:r>
            <w:r w:rsidR="00171AB4">
              <w:rPr>
                <w:rStyle w:val="normaltextrun"/>
                <w:rFonts w:cstheme="minorHAnsi"/>
                <w:shd w:val="clear" w:color="auto" w:fill="FFFFFF"/>
              </w:rPr>
              <w:t xml:space="preserve"> </w:t>
            </w:r>
            <w:r w:rsidR="007B6D1C">
              <w:rPr>
                <w:rStyle w:val="normaltextrun"/>
                <w:rFonts w:cstheme="minorHAnsi"/>
                <w:shd w:val="clear" w:color="auto" w:fill="FFFFFF"/>
              </w:rPr>
              <w:t xml:space="preserve">presents a prime opportunity </w:t>
            </w:r>
            <w:r w:rsidR="00820CEC">
              <w:rPr>
                <w:rStyle w:val="normaltextrun"/>
                <w:rFonts w:cstheme="minorHAnsi"/>
                <w:shd w:val="clear" w:color="auto" w:fill="FFFFFF"/>
              </w:rPr>
              <w:t>to implement evidence-based</w:t>
            </w:r>
            <w:r w:rsidR="007B6D1C">
              <w:rPr>
                <w:rStyle w:val="normaltextrun"/>
                <w:rFonts w:cstheme="minorHAnsi"/>
                <w:shd w:val="clear" w:color="auto" w:fill="FFFFFF"/>
              </w:rPr>
              <w:t xml:space="preserve"> interventio</w:t>
            </w:r>
            <w:r w:rsidR="00820CEC">
              <w:rPr>
                <w:rStyle w:val="normaltextrun"/>
                <w:rFonts w:cstheme="minorHAnsi"/>
                <w:shd w:val="clear" w:color="auto" w:fill="FFFFFF"/>
              </w:rPr>
              <w:t xml:space="preserve">ns to support students to engage in health-enhancing behaviours.  </w:t>
            </w:r>
            <w:r w:rsidR="00590087">
              <w:rPr>
                <w:rStyle w:val="normaltextrun"/>
                <w:rFonts w:cstheme="minorHAnsi"/>
                <w:shd w:val="clear" w:color="auto" w:fill="FFFFFF"/>
              </w:rPr>
              <w:t xml:space="preserve"> </w:t>
            </w:r>
          </w:p>
        </w:tc>
      </w:tr>
      <w:tr w:rsidR="4D76C2C4" w:rsidTr="46768E79" w14:paraId="4F07039D" w14:textId="77777777">
        <w:trPr>
          <w:trHeight w:val="300"/>
        </w:trPr>
        <w:tc>
          <w:tcPr>
            <w:tcW w:w="2689" w:type="dxa"/>
            <w:tcMar>
              <w:left w:w="105" w:type="dxa"/>
              <w:right w:w="105" w:type="dxa"/>
            </w:tcMar>
          </w:tcPr>
          <w:p w:rsidR="00801E77" w:rsidP="00ED283B" w:rsidRDefault="006A77B1" w14:paraId="1572EF17" w14:textId="17ED0176">
            <w:pPr>
              <w:spacing w:line="259" w:lineRule="auto"/>
              <w:rPr>
                <w:rFonts w:eastAsiaTheme="minorEastAsia"/>
                <w:b/>
                <w:bCs/>
              </w:rPr>
            </w:pPr>
            <w:r w:rsidRPr="4D76C2C4">
              <w:rPr>
                <w:rFonts w:eastAsiaTheme="minorEastAsia"/>
                <w:b/>
                <w:bCs/>
              </w:rPr>
              <w:t xml:space="preserve">Identify all </w:t>
            </w:r>
            <w:r>
              <w:rPr>
                <w:rFonts w:eastAsiaTheme="minorEastAsia"/>
                <w:b/>
                <w:bCs/>
              </w:rPr>
              <w:t>f</w:t>
            </w:r>
            <w:r w:rsidRPr="4D76C2C4">
              <w:rPr>
                <w:rFonts w:eastAsiaTheme="minorEastAsia"/>
                <w:b/>
                <w:bCs/>
              </w:rPr>
              <w:t xml:space="preserve">rameworks, </w:t>
            </w:r>
            <w:r w:rsidRPr="4D76C2C4" w:rsidR="008D7D1D">
              <w:rPr>
                <w:rFonts w:eastAsiaTheme="minorEastAsia"/>
                <w:b/>
                <w:bCs/>
              </w:rPr>
              <w:t>policies,</w:t>
            </w:r>
            <w:r w:rsidRPr="4D76C2C4">
              <w:rPr>
                <w:rFonts w:eastAsiaTheme="minorEastAsia"/>
                <w:b/>
                <w:bCs/>
              </w:rPr>
              <w:t xml:space="preserve"> or strategies this </w:t>
            </w:r>
            <w:r>
              <w:rPr>
                <w:rFonts w:eastAsiaTheme="minorEastAsia"/>
                <w:b/>
                <w:bCs/>
              </w:rPr>
              <w:t>initiative</w:t>
            </w:r>
            <w:r w:rsidRPr="4D76C2C4">
              <w:rPr>
                <w:rFonts w:eastAsiaTheme="minorEastAsia"/>
                <w:b/>
                <w:bCs/>
              </w:rPr>
              <w:t xml:space="preserve"> </w:t>
            </w:r>
            <w:r w:rsidR="008D7D1D">
              <w:rPr>
                <w:rFonts w:eastAsiaTheme="minorEastAsia"/>
                <w:b/>
                <w:bCs/>
              </w:rPr>
              <w:t>aligns to</w:t>
            </w:r>
          </w:p>
          <w:p w:rsidRPr="006A77B1" w:rsidR="4D76C2C4" w:rsidP="00ED283B" w:rsidRDefault="006A77B1" w14:paraId="70477AC5" w14:textId="7224106F">
            <w:pPr>
              <w:spacing w:line="259" w:lineRule="auto"/>
              <w:rPr>
                <w:rFonts w:eastAsiaTheme="minorEastAsia"/>
                <w:b/>
                <w:bCs/>
                <w:i/>
                <w:iCs/>
              </w:rPr>
            </w:pPr>
            <w:r w:rsidRPr="00801E77">
              <w:rPr>
                <w:rFonts w:eastAsiaTheme="minorEastAsia"/>
                <w:b/>
                <w:bCs/>
              </w:rPr>
              <w:t>(</w:t>
            </w:r>
            <w:r w:rsidRPr="00801E77" w:rsidR="0009785E">
              <w:rPr>
                <w:rFonts w:eastAsiaTheme="minorEastAsia"/>
                <w:b/>
                <w:bCs/>
              </w:rPr>
              <w:t>Internal</w:t>
            </w:r>
            <w:r w:rsidRPr="00801E77">
              <w:rPr>
                <w:rFonts w:eastAsiaTheme="minorEastAsia"/>
                <w:b/>
                <w:bCs/>
              </w:rPr>
              <w:t xml:space="preserve">, </w:t>
            </w:r>
            <w:proofErr w:type="gramStart"/>
            <w:r w:rsidRPr="00801E77">
              <w:rPr>
                <w:rFonts w:eastAsiaTheme="minorEastAsia"/>
                <w:b/>
                <w:bCs/>
              </w:rPr>
              <w:t>local</w:t>
            </w:r>
            <w:proofErr w:type="gramEnd"/>
            <w:r w:rsidRPr="00801E77">
              <w:rPr>
                <w:rFonts w:eastAsiaTheme="minorEastAsia"/>
                <w:b/>
                <w:bCs/>
              </w:rPr>
              <w:t xml:space="preserve"> or national)</w:t>
            </w:r>
          </w:p>
        </w:tc>
        <w:tc>
          <w:tcPr>
            <w:tcW w:w="7087" w:type="dxa"/>
            <w:tcMar>
              <w:left w:w="105" w:type="dxa"/>
              <w:right w:w="105" w:type="dxa"/>
            </w:tcMar>
          </w:tcPr>
          <w:p w:rsidR="00917993" w:rsidP="00ED283B" w:rsidRDefault="00B91D60" w14:paraId="7C907EF2" w14:textId="3440FB74">
            <w:pPr>
              <w:pStyle w:val="ListParagraph"/>
              <w:numPr>
                <w:ilvl w:val="0"/>
                <w:numId w:val="2"/>
              </w:numPr>
              <w:rPr>
                <w:rFonts w:eastAsiaTheme="minorEastAsia"/>
                <w:color w:val="000000" w:themeColor="text1"/>
                <w:lang w:val="en-IE"/>
              </w:rPr>
            </w:pPr>
            <w:r>
              <w:rPr>
                <w:rFonts w:eastAsiaTheme="minorEastAsia"/>
                <w:color w:val="000000" w:themeColor="text1"/>
                <w:lang w:val="en-IE"/>
              </w:rPr>
              <w:t>HEA</w:t>
            </w:r>
            <w:r w:rsidR="0055055F">
              <w:rPr>
                <w:rFonts w:eastAsiaTheme="minorEastAsia"/>
                <w:color w:val="000000" w:themeColor="text1"/>
                <w:lang w:val="en-IE"/>
              </w:rPr>
              <w:t xml:space="preserve"> Healthy Campus Charter and Framework </w:t>
            </w:r>
          </w:p>
          <w:p w:rsidR="006A77B1" w:rsidP="00ED283B" w:rsidRDefault="002302C7" w14:paraId="0F3ECECA" w14:textId="77777777">
            <w:pPr>
              <w:pStyle w:val="ListParagraph"/>
              <w:numPr>
                <w:ilvl w:val="0"/>
                <w:numId w:val="2"/>
              </w:numPr>
              <w:rPr>
                <w:rFonts w:eastAsiaTheme="minorEastAsia"/>
                <w:color w:val="000000" w:themeColor="text1"/>
                <w:lang w:val="en-IE"/>
              </w:rPr>
            </w:pPr>
            <w:r>
              <w:rPr>
                <w:rFonts w:eastAsiaTheme="minorEastAsia"/>
                <w:color w:val="000000" w:themeColor="text1"/>
                <w:lang w:val="en-IE"/>
              </w:rPr>
              <w:t xml:space="preserve">Healthy Ireland Framework </w:t>
            </w:r>
            <w:r w:rsidR="00125CD6">
              <w:rPr>
                <w:rFonts w:eastAsiaTheme="minorEastAsia"/>
                <w:color w:val="000000" w:themeColor="text1"/>
                <w:lang w:val="en-IE"/>
              </w:rPr>
              <w:t xml:space="preserve">(2019-2025) </w:t>
            </w:r>
          </w:p>
          <w:p w:rsidRPr="00171AB4" w:rsidR="002C2166" w:rsidP="00ED283B" w:rsidRDefault="002C2166" w14:paraId="53DC49CA" w14:textId="6A1843E2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eastAsiaTheme="minorEastAsia"/>
                <w:color w:val="000000" w:themeColor="text1"/>
                <w:lang w:val="en-IE"/>
              </w:rPr>
            </w:pPr>
            <w:r>
              <w:rPr>
                <w:rFonts w:eastAsiaTheme="minorEastAsia"/>
                <w:color w:val="000000" w:themeColor="text1"/>
                <w:lang w:val="en-IE"/>
              </w:rPr>
              <w:t>The Okanagan Charter</w:t>
            </w:r>
            <w:r w:rsidR="00B91D60">
              <w:rPr>
                <w:rFonts w:eastAsiaTheme="minorEastAsia"/>
                <w:color w:val="000000" w:themeColor="text1"/>
                <w:lang w:val="en-IE"/>
              </w:rPr>
              <w:t xml:space="preserve"> for Health Promoting Universities and Colleges</w:t>
            </w:r>
          </w:p>
        </w:tc>
      </w:tr>
      <w:tr w:rsidR="4D76C2C4" w:rsidTr="46768E79" w14:paraId="6DA27EDD" w14:textId="77777777">
        <w:trPr>
          <w:trHeight w:val="300"/>
        </w:trPr>
        <w:tc>
          <w:tcPr>
            <w:tcW w:w="2689" w:type="dxa"/>
            <w:tcMar>
              <w:left w:w="105" w:type="dxa"/>
              <w:right w:w="105" w:type="dxa"/>
            </w:tcMar>
          </w:tcPr>
          <w:p w:rsidR="63642A8C" w:rsidP="00ED283B" w:rsidRDefault="63642A8C" w14:paraId="62392C9F" w14:textId="754AF48F">
            <w:pPr>
              <w:spacing w:line="259" w:lineRule="auto"/>
              <w:rPr>
                <w:rFonts w:eastAsiaTheme="minorEastAsia"/>
                <w:b/>
                <w:bCs/>
              </w:rPr>
            </w:pPr>
            <w:r w:rsidRPr="4D76C2C4">
              <w:rPr>
                <w:rFonts w:eastAsiaTheme="minorEastAsia"/>
                <w:b/>
                <w:bCs/>
              </w:rPr>
              <w:lastRenderedPageBreak/>
              <w:t>Summary</w:t>
            </w:r>
            <w:r w:rsidRPr="4D76C2C4" w:rsidR="6068CED2">
              <w:rPr>
                <w:rFonts w:eastAsiaTheme="minorEastAsia"/>
                <w:b/>
                <w:bCs/>
              </w:rPr>
              <w:t xml:space="preserve"> </w:t>
            </w:r>
          </w:p>
          <w:p w:rsidR="4D76C2C4" w:rsidP="00ED283B" w:rsidRDefault="4D76C2C4" w14:paraId="2702A7DD" w14:textId="1FBA3AB7">
            <w:pPr>
              <w:spacing w:line="259" w:lineRule="auto"/>
              <w:rPr>
                <w:rFonts w:eastAsiaTheme="minorEastAsia"/>
                <w:b/>
                <w:bCs/>
              </w:rPr>
            </w:pPr>
          </w:p>
          <w:p w:rsidR="4D76C2C4" w:rsidP="00ED283B" w:rsidRDefault="4D76C2C4" w14:paraId="0D089A08" w14:textId="638CEA73">
            <w:pPr>
              <w:spacing w:line="259" w:lineRule="auto"/>
              <w:rPr>
                <w:rFonts w:eastAsiaTheme="minorEastAsia"/>
                <w:b/>
                <w:bCs/>
              </w:rPr>
            </w:pPr>
          </w:p>
        </w:tc>
        <w:tc>
          <w:tcPr>
            <w:tcW w:w="7087" w:type="dxa"/>
            <w:tcMar>
              <w:left w:w="105" w:type="dxa"/>
              <w:right w:w="105" w:type="dxa"/>
            </w:tcMar>
          </w:tcPr>
          <w:p w:rsidR="00B91D60" w:rsidP="005D50DF" w:rsidRDefault="00C56C78" w14:paraId="2F3BC3FA" w14:textId="77777777">
            <w:pPr>
              <w:spacing w:after="160"/>
              <w:jc w:val="both"/>
              <w:rPr>
                <w:rFonts w:cstheme="minorHAnsi"/>
              </w:rPr>
            </w:pPr>
            <w:bookmarkStart w:name="_Hlk164951621" w:id="0"/>
            <w:r w:rsidRPr="001F0271">
              <w:rPr>
                <w:rFonts w:cstheme="minorHAnsi"/>
              </w:rPr>
              <w:t>A 42-item web-based questionnaire was d</w:t>
            </w:r>
            <w:r w:rsidR="005F328B">
              <w:rPr>
                <w:rFonts w:cstheme="minorHAnsi"/>
              </w:rPr>
              <w:t xml:space="preserve">isseminated </w:t>
            </w:r>
            <w:r w:rsidR="004E1513">
              <w:rPr>
                <w:rFonts w:cstheme="minorHAnsi"/>
              </w:rPr>
              <w:t>via</w:t>
            </w:r>
            <w:r w:rsidRPr="001F0271">
              <w:rPr>
                <w:rFonts w:cstheme="minorHAnsi"/>
              </w:rPr>
              <w:t xml:space="preserve"> e-mail to </w:t>
            </w:r>
            <w:r w:rsidR="00E132A4">
              <w:rPr>
                <w:rFonts w:cstheme="minorHAnsi"/>
              </w:rPr>
              <w:t xml:space="preserve">all </w:t>
            </w:r>
            <w:r w:rsidRPr="001F0271">
              <w:rPr>
                <w:rFonts w:cstheme="minorHAnsi"/>
              </w:rPr>
              <w:t>first-</w:t>
            </w:r>
            <w:r w:rsidRPr="00E754B8">
              <w:rPr>
                <w:rFonts w:cstheme="minorHAnsi"/>
              </w:rPr>
              <w:t>year undergraduate students</w:t>
            </w:r>
            <w:r w:rsidRPr="00E754B8" w:rsidR="00D145B1">
              <w:rPr>
                <w:rFonts w:cstheme="minorHAnsi"/>
              </w:rPr>
              <w:t xml:space="preserve"> at </w:t>
            </w:r>
            <w:r w:rsidR="00B91D60">
              <w:rPr>
                <w:rFonts w:cstheme="minorHAnsi"/>
              </w:rPr>
              <w:t xml:space="preserve">MTU </w:t>
            </w:r>
            <w:r w:rsidRPr="00E754B8" w:rsidR="00593F62">
              <w:rPr>
                <w:rFonts w:cstheme="minorHAnsi"/>
              </w:rPr>
              <w:t xml:space="preserve">during </w:t>
            </w:r>
            <w:r w:rsidRPr="00E754B8" w:rsidR="00E132A4">
              <w:rPr>
                <w:rFonts w:cstheme="minorHAnsi"/>
              </w:rPr>
              <w:t xml:space="preserve">Semester 1 of </w:t>
            </w:r>
            <w:r w:rsidRPr="00E754B8" w:rsidR="00793437">
              <w:rPr>
                <w:rFonts w:cstheme="minorHAnsi"/>
              </w:rPr>
              <w:t xml:space="preserve">the academic year </w:t>
            </w:r>
            <w:r w:rsidRPr="00E754B8" w:rsidR="00E132A4">
              <w:rPr>
                <w:rFonts w:cstheme="minorHAnsi"/>
              </w:rPr>
              <w:t>2022/23</w:t>
            </w:r>
            <w:r w:rsidR="00B91D60">
              <w:rPr>
                <w:rFonts w:cstheme="minorHAnsi"/>
              </w:rPr>
              <w:t xml:space="preserve"> (Wave 1)</w:t>
            </w:r>
            <w:r w:rsidRPr="00E754B8" w:rsidR="00793437">
              <w:rPr>
                <w:rFonts w:cstheme="minorHAnsi"/>
              </w:rPr>
              <w:t>. This process was repeated</w:t>
            </w:r>
            <w:r w:rsidRPr="00E754B8" w:rsidR="00E132A4">
              <w:rPr>
                <w:rFonts w:cstheme="minorHAnsi"/>
              </w:rPr>
              <w:t xml:space="preserve"> in Semester</w:t>
            </w:r>
            <w:r w:rsidRPr="00E754B8" w:rsidR="00D145B1">
              <w:rPr>
                <w:rFonts w:cstheme="minorHAnsi"/>
              </w:rPr>
              <w:t xml:space="preserve"> 1 of 2023/24 (Wave 2)</w:t>
            </w:r>
            <w:r w:rsidRPr="00E754B8" w:rsidR="00793437">
              <w:rPr>
                <w:rFonts w:cstheme="minorHAnsi"/>
              </w:rPr>
              <w:t>,</w:t>
            </w:r>
            <w:r w:rsidRPr="00E754B8" w:rsidR="005B51C2">
              <w:rPr>
                <w:rFonts w:cstheme="minorHAnsi"/>
              </w:rPr>
              <w:t xml:space="preserve"> supplemented by in-class recruitment efforts to enhance participation rates.</w:t>
            </w:r>
            <w:r w:rsidRPr="00E754B8">
              <w:rPr>
                <w:rFonts w:cstheme="minorHAnsi"/>
              </w:rPr>
              <w:t xml:space="preserve"> </w:t>
            </w:r>
          </w:p>
          <w:p w:rsidR="00B91D60" w:rsidP="00B91D60" w:rsidRDefault="00C56C78" w14:paraId="6012918E" w14:textId="77777777">
            <w:pPr>
              <w:spacing w:after="160"/>
              <w:jc w:val="both"/>
              <w:rPr>
                <w:rStyle w:val="normaltextrun"/>
                <w:rFonts w:cstheme="minorHAnsi"/>
              </w:rPr>
            </w:pPr>
            <w:r w:rsidRPr="00E754B8">
              <w:rPr>
                <w:rFonts w:cstheme="minorHAnsi"/>
              </w:rPr>
              <w:t>Participants were asked</w:t>
            </w:r>
            <w:r w:rsidRPr="00E754B8" w:rsidR="00554EB3">
              <w:rPr>
                <w:rFonts w:cstheme="minorHAnsi"/>
              </w:rPr>
              <w:t xml:space="preserve"> a series of demographic questions such as age, campus association, area of study, socio-economic status, and living situation. </w:t>
            </w:r>
            <w:r w:rsidRPr="00E754B8" w:rsidR="005B51C2">
              <w:rPr>
                <w:rFonts w:cstheme="minorHAnsi"/>
              </w:rPr>
              <w:t xml:space="preserve">To determine </w:t>
            </w:r>
            <w:r w:rsidRPr="00E754B8" w:rsidR="001D1926">
              <w:rPr>
                <w:rFonts w:cstheme="minorHAnsi"/>
              </w:rPr>
              <w:t>habitual consumption of fruit and vegetables, participants were asked to</w:t>
            </w:r>
            <w:r w:rsidRPr="00E754B8" w:rsidR="0097329C">
              <w:rPr>
                <w:rFonts w:cstheme="minorHAnsi"/>
              </w:rPr>
              <w:t xml:space="preserve"> quantify</w:t>
            </w:r>
            <w:r w:rsidRPr="00E754B8" w:rsidR="00D3166F">
              <w:rPr>
                <w:rFonts w:cstheme="minorHAnsi"/>
              </w:rPr>
              <w:t xml:space="preserve"> their daily servings of</w:t>
            </w:r>
            <w:r w:rsidRPr="00E754B8" w:rsidR="00F90CE9">
              <w:rPr>
                <w:rFonts w:cstheme="minorHAnsi"/>
              </w:rPr>
              <w:t xml:space="preserve"> fruit</w:t>
            </w:r>
            <w:r w:rsidRPr="00E754B8" w:rsidR="00BE49B1">
              <w:rPr>
                <w:rFonts w:cstheme="minorHAnsi"/>
              </w:rPr>
              <w:t xml:space="preserve"> (a serving defined as 1 piece of fruit)</w:t>
            </w:r>
            <w:r w:rsidRPr="00E754B8" w:rsidR="00F90CE9">
              <w:rPr>
                <w:rFonts w:cstheme="minorHAnsi"/>
              </w:rPr>
              <w:t xml:space="preserve"> and vegetables</w:t>
            </w:r>
            <w:r w:rsidRPr="00E754B8">
              <w:rPr>
                <w:rFonts w:cstheme="minorHAnsi"/>
              </w:rPr>
              <w:t xml:space="preserve"> </w:t>
            </w:r>
            <w:r w:rsidRPr="00E754B8" w:rsidR="0097329C">
              <w:rPr>
                <w:rFonts w:cstheme="minorHAnsi"/>
              </w:rPr>
              <w:t>(</w:t>
            </w:r>
            <w:r w:rsidRPr="00E754B8">
              <w:rPr>
                <w:rFonts w:cstheme="minorHAnsi"/>
              </w:rPr>
              <w:t>3 dessertspoons of vegetable</w:t>
            </w:r>
            <w:r w:rsidRPr="00E754B8" w:rsidR="00DC09DB">
              <w:rPr>
                <w:rFonts w:cstheme="minorHAnsi"/>
              </w:rPr>
              <w:t>s)</w:t>
            </w:r>
            <w:r w:rsidRPr="00E754B8" w:rsidR="00E10C79">
              <w:rPr>
                <w:rFonts w:cstheme="minorHAnsi"/>
              </w:rPr>
              <w:t xml:space="preserve">, which were then aggregated to determine daily servings of fruit and vegetable consumption. </w:t>
            </w:r>
            <w:r w:rsidRPr="00E754B8">
              <w:rPr>
                <w:rFonts w:cstheme="minorHAnsi"/>
              </w:rPr>
              <w:t xml:space="preserve"> Habitual </w:t>
            </w:r>
            <w:r w:rsidRPr="00E754B8" w:rsidR="001D1926">
              <w:rPr>
                <w:rFonts w:cstheme="minorHAnsi"/>
              </w:rPr>
              <w:t>breakfast consumption</w:t>
            </w:r>
            <w:r w:rsidRPr="00E754B8">
              <w:rPr>
                <w:rFonts w:cstheme="minorHAnsi"/>
              </w:rPr>
              <w:t xml:space="preserve"> (days) </w:t>
            </w:r>
            <w:r w:rsidRPr="00E754B8" w:rsidR="001D1926">
              <w:rPr>
                <w:rFonts w:cstheme="minorHAnsi"/>
              </w:rPr>
              <w:t>was</w:t>
            </w:r>
            <w:r w:rsidRPr="00E754B8">
              <w:rPr>
                <w:rFonts w:cstheme="minorHAnsi"/>
              </w:rPr>
              <w:t xml:space="preserve"> reported </w:t>
            </w:r>
            <w:r w:rsidRPr="00E754B8" w:rsidR="001D1926">
              <w:rPr>
                <w:rFonts w:cstheme="minorHAnsi"/>
              </w:rPr>
              <w:t xml:space="preserve">in numeric values for </w:t>
            </w:r>
            <w:r w:rsidRPr="00E754B8">
              <w:rPr>
                <w:rFonts w:cstheme="minorHAnsi"/>
              </w:rPr>
              <w:t>weekdays</w:t>
            </w:r>
            <w:r w:rsidRPr="00E754B8" w:rsidR="00B401FB">
              <w:rPr>
                <w:rFonts w:cstheme="minorHAnsi"/>
              </w:rPr>
              <w:t xml:space="preserve">, </w:t>
            </w:r>
            <w:r w:rsidRPr="00E754B8" w:rsidR="002720C8">
              <w:rPr>
                <w:rFonts w:cstheme="minorHAnsi"/>
              </w:rPr>
              <w:t xml:space="preserve">classified as </w:t>
            </w:r>
            <w:r w:rsidRPr="00E754B8" w:rsidR="001D1926">
              <w:rPr>
                <w:rFonts w:cstheme="minorHAnsi"/>
              </w:rPr>
              <w:t>Monday to Friday</w:t>
            </w:r>
            <w:r w:rsidRPr="00E754B8">
              <w:rPr>
                <w:rFonts w:cstheme="minorHAnsi"/>
              </w:rPr>
              <w:t xml:space="preserve"> </w:t>
            </w:r>
            <w:r w:rsidRPr="00E754B8" w:rsidR="00B401FB">
              <w:rPr>
                <w:rFonts w:cstheme="minorHAnsi"/>
              </w:rPr>
              <w:t>(</w:t>
            </w:r>
            <w:r w:rsidRPr="00E754B8">
              <w:rPr>
                <w:rFonts w:cstheme="minorHAnsi"/>
              </w:rPr>
              <w:t>0-5</w:t>
            </w:r>
            <w:r w:rsidRPr="00E754B8" w:rsidR="00B401FB">
              <w:rPr>
                <w:rFonts w:cstheme="minorHAnsi"/>
              </w:rPr>
              <w:t>)</w:t>
            </w:r>
            <w:r w:rsidRPr="00E754B8" w:rsidR="00D50C76">
              <w:rPr>
                <w:rFonts w:cstheme="minorHAnsi"/>
              </w:rPr>
              <w:t>,</w:t>
            </w:r>
            <w:r w:rsidRPr="00E754B8">
              <w:rPr>
                <w:rFonts w:cstheme="minorHAnsi"/>
              </w:rPr>
              <w:t xml:space="preserve"> and weekend days</w:t>
            </w:r>
            <w:r w:rsidRPr="00E754B8" w:rsidR="00B401FB">
              <w:rPr>
                <w:rFonts w:cstheme="minorHAnsi"/>
              </w:rPr>
              <w:t xml:space="preserve">, </w:t>
            </w:r>
            <w:r w:rsidRPr="00E754B8" w:rsidR="002720C8">
              <w:rPr>
                <w:rFonts w:cstheme="minorHAnsi"/>
              </w:rPr>
              <w:t xml:space="preserve">classified as </w:t>
            </w:r>
            <w:r w:rsidRPr="00E754B8" w:rsidR="001D1926">
              <w:rPr>
                <w:rFonts w:cstheme="minorHAnsi"/>
              </w:rPr>
              <w:t xml:space="preserve">Saturday and Sunday </w:t>
            </w:r>
            <w:r w:rsidRPr="00E754B8" w:rsidR="00B401FB">
              <w:rPr>
                <w:rFonts w:cstheme="minorHAnsi"/>
              </w:rPr>
              <w:t>(</w:t>
            </w:r>
            <w:r w:rsidRPr="00E754B8">
              <w:rPr>
                <w:rFonts w:cstheme="minorHAnsi"/>
              </w:rPr>
              <w:t>0-2</w:t>
            </w:r>
            <w:r w:rsidRPr="00E754B8" w:rsidR="00B401FB">
              <w:rPr>
                <w:rFonts w:cstheme="minorHAnsi"/>
              </w:rPr>
              <w:t>)</w:t>
            </w:r>
            <w:r w:rsidRPr="00E754B8">
              <w:rPr>
                <w:rFonts w:cstheme="minorHAnsi"/>
              </w:rPr>
              <w:t xml:space="preserve">. </w:t>
            </w:r>
            <w:r w:rsidRPr="00E754B8" w:rsidR="008E6AD3">
              <w:rPr>
                <w:rFonts w:cstheme="minorHAnsi"/>
              </w:rPr>
              <w:t xml:space="preserve">Participants self-reported their height and weight in either imperial or metric units, which were then converted to metric units. </w:t>
            </w:r>
            <w:r w:rsidRPr="00E754B8">
              <w:rPr>
                <w:rFonts w:cstheme="minorHAnsi"/>
              </w:rPr>
              <w:t>B</w:t>
            </w:r>
            <w:r w:rsidRPr="00E754B8" w:rsidR="00B518D8">
              <w:rPr>
                <w:rFonts w:cstheme="minorHAnsi"/>
              </w:rPr>
              <w:t xml:space="preserve">ody mass index </w:t>
            </w:r>
            <w:r w:rsidRPr="00E754B8">
              <w:rPr>
                <w:rFonts w:cstheme="minorHAnsi"/>
                <w:shd w:val="clear" w:color="auto" w:fill="FFFFFF"/>
              </w:rPr>
              <w:t>[kg/height(m)</w:t>
            </w:r>
            <w:r w:rsidRPr="00E754B8">
              <w:rPr>
                <w:rFonts w:cstheme="minorHAnsi"/>
                <w:bdr w:val="none" w:color="auto" w:sz="0" w:space="0" w:frame="1"/>
                <w:shd w:val="clear" w:color="auto" w:fill="FFFFFF"/>
                <w:vertAlign w:val="superscript"/>
              </w:rPr>
              <w:t>2</w:t>
            </w:r>
            <w:r w:rsidRPr="00E754B8">
              <w:rPr>
                <w:rFonts w:cstheme="minorHAnsi"/>
                <w:shd w:val="clear" w:color="auto" w:fill="FFFFFF"/>
              </w:rPr>
              <w:t>]</w:t>
            </w:r>
            <w:r w:rsidRPr="00E754B8">
              <w:rPr>
                <w:rFonts w:cstheme="minorHAnsi"/>
              </w:rPr>
              <w:t xml:space="preserve"> was </w:t>
            </w:r>
            <w:r w:rsidRPr="00E754B8" w:rsidR="008E6AD3">
              <w:rPr>
                <w:rFonts w:cstheme="minorHAnsi"/>
              </w:rPr>
              <w:t xml:space="preserve">then </w:t>
            </w:r>
            <w:r w:rsidRPr="00E754B8">
              <w:rPr>
                <w:rFonts w:cstheme="minorHAnsi"/>
              </w:rPr>
              <w:t>calculated</w:t>
            </w:r>
            <w:r w:rsidRPr="00E754B8" w:rsidR="008E6AD3">
              <w:rPr>
                <w:rFonts w:cstheme="minorHAnsi"/>
              </w:rPr>
              <w:t xml:space="preserve"> and classified using the </w:t>
            </w:r>
            <w:r w:rsidRPr="00E754B8" w:rsidR="000C53EC">
              <w:rPr>
                <w:rFonts w:cstheme="minorHAnsi"/>
              </w:rPr>
              <w:t>WHO criteria</w:t>
            </w:r>
            <w:r w:rsidRPr="00E754B8">
              <w:rPr>
                <w:rFonts w:cstheme="minorHAnsi"/>
              </w:rPr>
              <w:t xml:space="preserve">. The AUDIT-C scale (range 0-12) was used to identify </w:t>
            </w:r>
            <w:r w:rsidRPr="00E754B8" w:rsidR="00D50C76">
              <w:rPr>
                <w:rFonts w:cstheme="minorHAnsi"/>
              </w:rPr>
              <w:t>hazardous alcohol consumption</w:t>
            </w:r>
            <w:r w:rsidRPr="00E754B8" w:rsidR="001D1926">
              <w:rPr>
                <w:rFonts w:cstheme="minorHAnsi"/>
              </w:rPr>
              <w:t xml:space="preserve"> (Davoren et al., 2015)</w:t>
            </w:r>
            <w:r w:rsidRPr="00E754B8">
              <w:rPr>
                <w:rFonts w:cstheme="minorHAnsi"/>
              </w:rPr>
              <w:t xml:space="preserve"> </w:t>
            </w:r>
            <w:r w:rsidRPr="00E754B8" w:rsidR="001D1926">
              <w:rPr>
                <w:rFonts w:cstheme="minorHAnsi"/>
              </w:rPr>
              <w:t>based on</w:t>
            </w:r>
            <w:r w:rsidRPr="00E754B8">
              <w:rPr>
                <w:rFonts w:cstheme="minorHAnsi"/>
              </w:rPr>
              <w:t xml:space="preserve"> </w:t>
            </w:r>
            <w:r w:rsidRPr="00E754B8" w:rsidR="001973CE">
              <w:rPr>
                <w:rFonts w:cstheme="minorHAnsi"/>
              </w:rPr>
              <w:t>previously reported</w:t>
            </w:r>
            <w:r w:rsidRPr="00E754B8">
              <w:rPr>
                <w:rFonts w:cstheme="minorHAnsi"/>
              </w:rPr>
              <w:t xml:space="preserve"> sex-specific threshold scores (</w:t>
            </w:r>
            <w:r w:rsidRPr="00E754B8" w:rsidR="00D50C76">
              <w:rPr>
                <w:rFonts w:cstheme="minorHAnsi"/>
              </w:rPr>
              <w:t>Scores</w:t>
            </w:r>
            <w:r w:rsidRPr="00E754B8" w:rsidR="005D50DF">
              <w:rPr>
                <w:rFonts w:cstheme="minorHAnsi"/>
              </w:rPr>
              <w:t xml:space="preserve"> </w:t>
            </w:r>
            <w:r w:rsidRPr="00E754B8" w:rsidR="005D50DF">
              <w:rPr>
                <w:rStyle w:val="cf11"/>
                <w:rFonts w:asciiTheme="minorHAnsi" w:hAnsiTheme="minorHAnsi" w:cstheme="minorHAnsi"/>
                <w:color w:val="auto"/>
                <w:sz w:val="22"/>
                <w:szCs w:val="22"/>
                <w:lang w:val="en"/>
              </w:rPr>
              <w:t>≥</w:t>
            </w:r>
            <w:r w:rsidRPr="00E754B8" w:rsidR="005D50DF">
              <w:rPr>
                <w:rStyle w:val="cf21"/>
                <w:rFonts w:asciiTheme="minorHAnsi" w:hAnsiTheme="minorHAnsi" w:cstheme="minorHAnsi"/>
                <w:color w:val="auto"/>
                <w:sz w:val="22"/>
                <w:szCs w:val="22"/>
                <w:lang w:val="en"/>
              </w:rPr>
              <w:t xml:space="preserve">5 for </w:t>
            </w:r>
            <w:r w:rsidRPr="00E754B8">
              <w:rPr>
                <w:rStyle w:val="cf01"/>
                <w:rFonts w:asciiTheme="minorHAnsi" w:hAnsiTheme="minorHAnsi" w:cstheme="minorHAnsi"/>
                <w:sz w:val="22"/>
                <w:szCs w:val="22"/>
                <w:lang w:val="en"/>
              </w:rPr>
              <w:t xml:space="preserve">Females </w:t>
            </w:r>
            <w:r w:rsidRPr="00E754B8">
              <w:rPr>
                <w:rStyle w:val="cf21"/>
                <w:rFonts w:asciiTheme="minorHAnsi" w:hAnsiTheme="minorHAnsi" w:cstheme="minorHAnsi"/>
                <w:color w:val="auto"/>
                <w:sz w:val="22"/>
                <w:szCs w:val="22"/>
                <w:lang w:val="en"/>
              </w:rPr>
              <w:t>and</w:t>
            </w:r>
            <w:r w:rsidRPr="00E754B8" w:rsidR="005D50DF">
              <w:rPr>
                <w:rStyle w:val="cf21"/>
                <w:rFonts w:asciiTheme="minorHAnsi" w:hAnsiTheme="minorHAnsi" w:cstheme="minorHAnsi"/>
                <w:color w:val="auto"/>
                <w:sz w:val="22"/>
                <w:szCs w:val="22"/>
                <w:lang w:val="en"/>
              </w:rPr>
              <w:t xml:space="preserve"> </w:t>
            </w:r>
            <w:r w:rsidRPr="00E754B8" w:rsidR="005D50DF">
              <w:rPr>
                <w:rStyle w:val="cf11"/>
                <w:rFonts w:asciiTheme="minorHAnsi" w:hAnsiTheme="minorHAnsi" w:cstheme="minorHAnsi"/>
                <w:color w:val="auto"/>
                <w:sz w:val="22"/>
                <w:szCs w:val="22"/>
                <w:lang w:val="en"/>
              </w:rPr>
              <w:t>≥</w:t>
            </w:r>
            <w:r w:rsidRPr="00E754B8" w:rsidR="005D50DF">
              <w:rPr>
                <w:rStyle w:val="cf21"/>
                <w:rFonts w:asciiTheme="minorHAnsi" w:hAnsiTheme="minorHAnsi" w:cstheme="minorHAnsi"/>
                <w:color w:val="auto"/>
                <w:sz w:val="22"/>
                <w:szCs w:val="22"/>
                <w:lang w:val="en"/>
              </w:rPr>
              <w:t xml:space="preserve">6 for </w:t>
            </w:r>
            <w:r w:rsidRPr="00E754B8">
              <w:rPr>
                <w:rStyle w:val="cf21"/>
                <w:rFonts w:asciiTheme="minorHAnsi" w:hAnsiTheme="minorHAnsi" w:cstheme="minorHAnsi"/>
                <w:color w:val="auto"/>
                <w:sz w:val="22"/>
                <w:szCs w:val="22"/>
                <w:lang w:val="en"/>
              </w:rPr>
              <w:t xml:space="preserve">males </w:t>
            </w:r>
            <w:r w:rsidRPr="00E754B8" w:rsidR="00D50C76">
              <w:rPr>
                <w:rStyle w:val="cf21"/>
                <w:rFonts w:asciiTheme="minorHAnsi" w:hAnsiTheme="minorHAnsi" w:cstheme="minorHAnsi"/>
                <w:color w:val="auto"/>
                <w:sz w:val="22"/>
                <w:szCs w:val="22"/>
                <w:lang w:val="en"/>
              </w:rPr>
              <w:t>classified</w:t>
            </w:r>
            <w:r w:rsidRPr="00E754B8">
              <w:rPr>
                <w:rStyle w:val="cf21"/>
                <w:rFonts w:asciiTheme="minorHAnsi" w:hAnsiTheme="minorHAnsi" w:cstheme="minorHAnsi"/>
                <w:color w:val="auto"/>
                <w:sz w:val="22"/>
                <w:szCs w:val="22"/>
                <w:lang w:val="en"/>
              </w:rPr>
              <w:t xml:space="preserve"> as </w:t>
            </w:r>
            <w:r w:rsidRPr="00E754B8" w:rsidR="00593F62">
              <w:rPr>
                <w:rStyle w:val="cf21"/>
                <w:rFonts w:asciiTheme="minorHAnsi" w:hAnsiTheme="minorHAnsi" w:cstheme="minorHAnsi"/>
                <w:color w:val="auto"/>
                <w:sz w:val="22"/>
                <w:szCs w:val="22"/>
                <w:lang w:val="en"/>
              </w:rPr>
              <w:t>hazardous alcohol consumption</w:t>
            </w:r>
            <w:r w:rsidRPr="00E754B8">
              <w:rPr>
                <w:rStyle w:val="cf21"/>
                <w:rFonts w:asciiTheme="minorHAnsi" w:hAnsiTheme="minorHAnsi" w:cstheme="minorHAnsi"/>
                <w:color w:val="auto"/>
                <w:sz w:val="22"/>
                <w:szCs w:val="22"/>
                <w:lang w:val="en"/>
              </w:rPr>
              <w:t>).</w:t>
            </w:r>
            <w:r w:rsidRPr="00E754B8">
              <w:rPr>
                <w:rStyle w:val="cf21"/>
                <w:color w:val="auto"/>
                <w:sz w:val="22"/>
                <w:szCs w:val="22"/>
                <w:lang w:val="en"/>
              </w:rPr>
              <w:t xml:space="preserve"> </w:t>
            </w:r>
            <w:bookmarkEnd w:id="0"/>
          </w:p>
          <w:p w:rsidRPr="00D46C5E" w:rsidR="00BF5361" w:rsidP="00B91D60" w:rsidRDefault="00BF5361" w14:paraId="66DDB73C" w14:textId="7E5D1C78">
            <w:pPr>
              <w:spacing w:after="160"/>
              <w:jc w:val="both"/>
              <w:rPr>
                <w:rFonts w:cstheme="minorHAnsi"/>
              </w:rPr>
            </w:pPr>
            <w:r w:rsidRPr="00E754B8">
              <w:rPr>
                <w:rFonts w:cstheme="minorHAnsi"/>
              </w:rPr>
              <w:t>Response rates were 6.5% (n=330; 61</w:t>
            </w:r>
            <w:r w:rsidRPr="00B847D7">
              <w:rPr>
                <w:rFonts w:cstheme="minorHAnsi"/>
              </w:rPr>
              <w:t xml:space="preserve">.2% female, 34.2% male) and 31.8% (n=1,580; 52.2% female, 46.0% male) for Wave 1 and Wave 2, respectively. </w:t>
            </w:r>
            <w:r w:rsidRPr="00B847D7">
              <w:rPr>
                <w:rStyle w:val="normaltextrun"/>
                <w:rFonts w:cstheme="minorHAnsi"/>
                <w:shd w:val="clear" w:color="auto" w:fill="FFFFFF"/>
              </w:rPr>
              <w:t>Median daily fruit and vegetable servings were 4.0</w:t>
            </w:r>
            <w:r w:rsidR="00B91D60">
              <w:rPr>
                <w:rStyle w:val="normaltextrun"/>
                <w:rFonts w:cstheme="minorHAnsi"/>
                <w:shd w:val="clear" w:color="auto" w:fill="FFFFFF"/>
              </w:rPr>
              <w:t xml:space="preserve"> at</w:t>
            </w:r>
            <w:r w:rsidRPr="00B847D7">
              <w:rPr>
                <w:rStyle w:val="normaltextrun"/>
                <w:rFonts w:cstheme="minorHAnsi"/>
                <w:bdr w:val="none" w:color="auto" w:sz="0" w:space="0" w:frame="1"/>
              </w:rPr>
              <w:t xml:space="preserve"> W</w:t>
            </w:r>
            <w:r>
              <w:rPr>
                <w:rStyle w:val="normaltextrun"/>
                <w:rFonts w:cstheme="minorHAnsi"/>
                <w:bdr w:val="none" w:color="auto" w:sz="0" w:space="0" w:frame="1"/>
              </w:rPr>
              <w:t xml:space="preserve">ave </w:t>
            </w:r>
            <w:r w:rsidRPr="00B847D7">
              <w:rPr>
                <w:rStyle w:val="normaltextrun"/>
                <w:rFonts w:cstheme="minorHAnsi"/>
                <w:bdr w:val="none" w:color="auto" w:sz="0" w:space="0" w:frame="1"/>
              </w:rPr>
              <w:t xml:space="preserve">1, </w:t>
            </w:r>
            <w:r w:rsidR="00B91D60">
              <w:rPr>
                <w:rStyle w:val="normaltextrun"/>
                <w:rFonts w:cstheme="minorHAnsi"/>
                <w:bdr w:val="none" w:color="auto" w:sz="0" w:space="0" w:frame="1"/>
              </w:rPr>
              <w:t xml:space="preserve">and </w:t>
            </w:r>
            <w:r w:rsidRPr="00B847D7">
              <w:rPr>
                <w:rStyle w:val="normaltextrun"/>
                <w:rFonts w:cstheme="minorHAnsi"/>
                <w:bdr w:val="none" w:color="auto" w:sz="0" w:space="0" w:frame="1"/>
              </w:rPr>
              <w:t>3.0 at W</w:t>
            </w:r>
            <w:r>
              <w:rPr>
                <w:rStyle w:val="normaltextrun"/>
                <w:rFonts w:cstheme="minorHAnsi"/>
                <w:bdr w:val="none" w:color="auto" w:sz="0" w:space="0" w:frame="1"/>
              </w:rPr>
              <w:t xml:space="preserve">ave </w:t>
            </w:r>
            <w:r w:rsidRPr="00B847D7">
              <w:rPr>
                <w:rStyle w:val="normaltextrun"/>
                <w:rFonts w:cstheme="minorHAnsi"/>
                <w:bdr w:val="none" w:color="auto" w:sz="0" w:space="0" w:frame="1"/>
              </w:rPr>
              <w:t xml:space="preserve">2. </w:t>
            </w:r>
            <w:r w:rsidR="00D57B6D">
              <w:rPr>
                <w:rStyle w:val="normaltextrun"/>
                <w:rFonts w:cstheme="minorHAnsi"/>
                <w:bdr w:val="none" w:color="auto" w:sz="0" w:space="0" w:frame="1"/>
              </w:rPr>
              <w:t>Over</w:t>
            </w:r>
            <w:r w:rsidR="001C2333">
              <w:rPr>
                <w:rStyle w:val="normaltextrun"/>
                <w:rFonts w:cstheme="minorHAnsi"/>
                <w:bdr w:val="none" w:color="auto" w:sz="0" w:space="0" w:frame="1"/>
              </w:rPr>
              <w:t xml:space="preserve"> </w:t>
            </w:r>
            <w:r w:rsidR="00F912E7">
              <w:rPr>
                <w:rStyle w:val="normaltextrun"/>
                <w:rFonts w:cstheme="minorHAnsi"/>
                <w:bdr w:val="none" w:color="auto" w:sz="0" w:space="0" w:frame="1"/>
              </w:rPr>
              <w:t xml:space="preserve">63.0% of participants </w:t>
            </w:r>
            <w:r w:rsidR="00B91D60">
              <w:rPr>
                <w:rStyle w:val="normaltextrun"/>
                <w:rFonts w:cstheme="minorHAnsi"/>
                <w:bdr w:val="none" w:color="auto" w:sz="0" w:space="0" w:frame="1"/>
              </w:rPr>
              <w:t>did not meet</w:t>
            </w:r>
            <w:r w:rsidR="00F912E7">
              <w:rPr>
                <w:rStyle w:val="normaltextrun"/>
                <w:rFonts w:cstheme="minorHAnsi"/>
                <w:bdr w:val="none" w:color="auto" w:sz="0" w:space="0" w:frame="1"/>
              </w:rPr>
              <w:t xml:space="preserve"> the minimum recommended daily intake of </w:t>
            </w:r>
            <w:r w:rsidR="00D57B6D">
              <w:rPr>
                <w:rStyle w:val="normaltextrun"/>
                <w:rFonts w:cstheme="minorHAnsi"/>
                <w:bdr w:val="none" w:color="auto" w:sz="0" w:space="0" w:frame="1"/>
              </w:rPr>
              <w:t>5 servings across both waves</w:t>
            </w:r>
            <w:r w:rsidR="00F912E7">
              <w:rPr>
                <w:rStyle w:val="normaltextrun"/>
                <w:rFonts w:cstheme="minorHAnsi"/>
                <w:bdr w:val="none" w:color="auto" w:sz="0" w:space="0" w:frame="1"/>
              </w:rPr>
              <w:t xml:space="preserve">. </w:t>
            </w:r>
            <w:r w:rsidRPr="00B847D7">
              <w:rPr>
                <w:rStyle w:val="normaltextrun"/>
                <w:rFonts w:cstheme="minorHAnsi"/>
                <w:shd w:val="clear" w:color="auto" w:fill="FFFFFF"/>
              </w:rPr>
              <w:t>A significantly higher proportion of male</w:t>
            </w:r>
            <w:r>
              <w:rPr>
                <w:rStyle w:val="normaltextrun"/>
                <w:rFonts w:cstheme="minorHAnsi"/>
                <w:shd w:val="clear" w:color="auto" w:fill="FFFFFF"/>
              </w:rPr>
              <w:t>s</w:t>
            </w:r>
            <w:r w:rsidRPr="00B847D7">
              <w:rPr>
                <w:rStyle w:val="normaltextrun"/>
                <w:rFonts w:cstheme="minorHAnsi"/>
                <w:shd w:val="clear" w:color="auto" w:fill="FFFFFF"/>
              </w:rPr>
              <w:t xml:space="preserve"> </w:t>
            </w:r>
            <w:r>
              <w:rPr>
                <w:rStyle w:val="normaltextrun"/>
                <w:rFonts w:cstheme="minorHAnsi"/>
                <w:shd w:val="clear" w:color="auto" w:fill="FFFFFF"/>
              </w:rPr>
              <w:t xml:space="preserve">compared to females </w:t>
            </w:r>
            <w:r w:rsidRPr="00B847D7">
              <w:rPr>
                <w:rStyle w:val="normaltextrun"/>
                <w:rFonts w:cstheme="minorHAnsi"/>
                <w:shd w:val="clear" w:color="auto" w:fill="FFFFFF"/>
              </w:rPr>
              <w:t>reported daily breakfast consumption at both W1 (45.6%</w:t>
            </w:r>
            <w:r>
              <w:rPr>
                <w:rStyle w:val="normaltextrun"/>
                <w:rFonts w:cstheme="minorHAnsi"/>
                <w:shd w:val="clear" w:color="auto" w:fill="FFFFFF"/>
              </w:rPr>
              <w:t xml:space="preserve"> males</w:t>
            </w:r>
            <w:r w:rsidRPr="00B847D7">
              <w:rPr>
                <w:rStyle w:val="normaltextrun"/>
                <w:rFonts w:cstheme="minorHAnsi"/>
                <w:shd w:val="clear" w:color="auto" w:fill="FFFFFF"/>
              </w:rPr>
              <w:t xml:space="preserve"> vs. 29.1% females) and W2 (36.6%</w:t>
            </w:r>
            <w:r>
              <w:rPr>
                <w:rStyle w:val="normaltextrun"/>
                <w:rFonts w:cstheme="minorHAnsi"/>
                <w:shd w:val="clear" w:color="auto" w:fill="FFFFFF"/>
              </w:rPr>
              <w:t xml:space="preserve"> males</w:t>
            </w:r>
            <w:r w:rsidRPr="00B847D7">
              <w:rPr>
                <w:rStyle w:val="normaltextrun"/>
                <w:rFonts w:cstheme="minorHAnsi"/>
                <w:shd w:val="clear" w:color="auto" w:fill="FFFFFF"/>
              </w:rPr>
              <w:t xml:space="preserve"> vs. 27.6%</w:t>
            </w:r>
            <w:r>
              <w:rPr>
                <w:rStyle w:val="normaltextrun"/>
                <w:rFonts w:cstheme="minorHAnsi"/>
                <w:shd w:val="clear" w:color="auto" w:fill="FFFFFF"/>
              </w:rPr>
              <w:t xml:space="preserve"> females</w:t>
            </w:r>
            <w:r w:rsidRPr="00B847D7">
              <w:rPr>
                <w:rStyle w:val="normaltextrun"/>
                <w:rFonts w:cstheme="minorHAnsi"/>
                <w:shd w:val="clear" w:color="auto" w:fill="FFFFFF"/>
              </w:rPr>
              <w:t xml:space="preserve">). The prevalence of </w:t>
            </w:r>
            <w:r w:rsidR="002C2A18">
              <w:rPr>
                <w:rStyle w:val="normaltextrun"/>
                <w:rFonts w:cstheme="minorHAnsi"/>
                <w:shd w:val="clear" w:color="auto" w:fill="FFFFFF"/>
              </w:rPr>
              <w:t xml:space="preserve">participants with </w:t>
            </w:r>
            <w:r w:rsidRPr="00B847D7">
              <w:rPr>
                <w:rStyle w:val="normaltextrun"/>
                <w:rFonts w:cstheme="minorHAnsi"/>
                <w:shd w:val="clear" w:color="auto" w:fill="FFFFFF"/>
              </w:rPr>
              <w:t>overweight</w:t>
            </w:r>
            <w:r>
              <w:rPr>
                <w:rStyle w:val="normaltextrun"/>
                <w:rFonts w:cstheme="minorHAnsi"/>
                <w:shd w:val="clear" w:color="auto" w:fill="FFFFFF"/>
              </w:rPr>
              <w:t xml:space="preserve"> and </w:t>
            </w:r>
            <w:r w:rsidRPr="00B847D7">
              <w:rPr>
                <w:rStyle w:val="normaltextrun"/>
                <w:rFonts w:cstheme="minorHAnsi"/>
                <w:shd w:val="clear" w:color="auto" w:fill="FFFFFF"/>
              </w:rPr>
              <w:t>obesity was 27.7% at W</w:t>
            </w:r>
            <w:r w:rsidR="002C2A18">
              <w:rPr>
                <w:rStyle w:val="normaltextrun"/>
                <w:rFonts w:cstheme="minorHAnsi"/>
                <w:shd w:val="clear" w:color="auto" w:fill="FFFFFF"/>
              </w:rPr>
              <w:t>ave 1</w:t>
            </w:r>
            <w:r w:rsidRPr="00B847D7">
              <w:rPr>
                <w:rStyle w:val="normaltextrun"/>
                <w:rFonts w:cstheme="minorHAnsi"/>
                <w:shd w:val="clear" w:color="auto" w:fill="FFFFFF"/>
              </w:rPr>
              <w:t xml:space="preserve"> and 32.2% at W</w:t>
            </w:r>
            <w:r w:rsidR="002C2A18">
              <w:rPr>
                <w:rStyle w:val="normaltextrun"/>
                <w:rFonts w:cstheme="minorHAnsi"/>
                <w:shd w:val="clear" w:color="auto" w:fill="FFFFFF"/>
              </w:rPr>
              <w:t>ave 2</w:t>
            </w:r>
            <w:r w:rsidRPr="00B847D7">
              <w:rPr>
                <w:rStyle w:val="normaltextrun"/>
                <w:rFonts w:cstheme="minorHAnsi"/>
                <w:shd w:val="clear" w:color="auto" w:fill="FFFFFF"/>
              </w:rPr>
              <w:t>. Among students who reported habitual alcohol consumption (88.6% at W</w:t>
            </w:r>
            <w:r w:rsidR="006313DE">
              <w:rPr>
                <w:rStyle w:val="normaltextrun"/>
                <w:rFonts w:cstheme="minorHAnsi"/>
                <w:shd w:val="clear" w:color="auto" w:fill="FFFFFF"/>
              </w:rPr>
              <w:t xml:space="preserve">ave </w:t>
            </w:r>
            <w:r w:rsidRPr="00B847D7">
              <w:rPr>
                <w:rStyle w:val="normaltextrun"/>
                <w:rFonts w:cstheme="minorHAnsi"/>
                <w:shd w:val="clear" w:color="auto" w:fill="FFFFFF"/>
              </w:rPr>
              <w:t>1, 89.9% at W</w:t>
            </w:r>
            <w:r w:rsidR="006313DE">
              <w:rPr>
                <w:rStyle w:val="normaltextrun"/>
                <w:rFonts w:cstheme="minorHAnsi"/>
                <w:shd w:val="clear" w:color="auto" w:fill="FFFFFF"/>
              </w:rPr>
              <w:t xml:space="preserve">ave </w:t>
            </w:r>
            <w:r w:rsidRPr="00B847D7">
              <w:rPr>
                <w:rStyle w:val="normaltextrun"/>
                <w:rFonts w:cstheme="minorHAnsi"/>
                <w:shd w:val="clear" w:color="auto" w:fill="FFFFFF"/>
              </w:rPr>
              <w:t xml:space="preserve">2), </w:t>
            </w:r>
            <w:r>
              <w:rPr>
                <w:rStyle w:val="normaltextrun"/>
                <w:rFonts w:cstheme="minorHAnsi"/>
                <w:shd w:val="clear" w:color="auto" w:fill="FFFFFF"/>
              </w:rPr>
              <w:t xml:space="preserve">over two-thirds, </w:t>
            </w:r>
            <w:r w:rsidRPr="00B847D7">
              <w:rPr>
                <w:rStyle w:val="normaltextrun"/>
                <w:rFonts w:cstheme="minorHAnsi"/>
                <w:shd w:val="clear" w:color="auto" w:fill="FFFFFF"/>
              </w:rPr>
              <w:t xml:space="preserve">63.6% </w:t>
            </w:r>
            <w:r w:rsidR="006313DE">
              <w:rPr>
                <w:rStyle w:val="normaltextrun"/>
                <w:rFonts w:cstheme="minorHAnsi"/>
                <w:shd w:val="clear" w:color="auto" w:fill="FFFFFF"/>
              </w:rPr>
              <w:t xml:space="preserve">at Wave 1, and 66.4% at </w:t>
            </w:r>
            <w:r w:rsidR="008D0539">
              <w:rPr>
                <w:rStyle w:val="normaltextrun"/>
                <w:rFonts w:cstheme="minorHAnsi"/>
                <w:shd w:val="clear" w:color="auto" w:fill="FFFFFF"/>
              </w:rPr>
              <w:t>Wave 2</w:t>
            </w:r>
            <w:r w:rsidRPr="00B847D7">
              <w:rPr>
                <w:rStyle w:val="normaltextrun"/>
                <w:rFonts w:cstheme="minorHAnsi"/>
                <w:shd w:val="clear" w:color="auto" w:fill="FFFFFF"/>
              </w:rPr>
              <w:t xml:space="preserve"> exceeded hazardous gender-specific thresholds, with no significant gender differences across waves.</w:t>
            </w:r>
            <w:r w:rsidRPr="00C20391">
              <w:rPr>
                <w:rStyle w:val="normaltextrun"/>
                <w:rFonts w:cstheme="minorHAnsi"/>
                <w:shd w:val="clear" w:color="auto" w:fill="FFFFFF"/>
              </w:rPr>
              <w:t xml:space="preserve"> </w:t>
            </w:r>
          </w:p>
        </w:tc>
      </w:tr>
      <w:tr w:rsidR="4D76C2C4" w:rsidTr="46768E79" w14:paraId="4D87ECDB" w14:textId="77777777">
        <w:trPr>
          <w:trHeight w:val="300"/>
        </w:trPr>
        <w:tc>
          <w:tcPr>
            <w:tcW w:w="2689" w:type="dxa"/>
            <w:tcMar>
              <w:left w:w="105" w:type="dxa"/>
              <w:right w:w="105" w:type="dxa"/>
            </w:tcMar>
          </w:tcPr>
          <w:p w:rsidR="4D76C2C4" w:rsidP="00ED283B" w:rsidRDefault="26DDE489" w14:paraId="724E4DDB" w14:textId="1D88BCCB">
            <w:pPr>
              <w:spacing w:line="259" w:lineRule="auto"/>
              <w:rPr>
                <w:rFonts w:eastAsiaTheme="minorEastAsia"/>
                <w:b/>
                <w:bCs/>
                <w:color w:val="000000" w:themeColor="text1"/>
                <w:lang w:val="en-IE"/>
              </w:rPr>
            </w:pPr>
            <w:r w:rsidRPr="4D76C2C4">
              <w:rPr>
                <w:rFonts w:eastAsiaTheme="minorEastAsia"/>
                <w:b/>
                <w:bCs/>
                <w:color w:val="000000" w:themeColor="text1"/>
                <w:lang w:val="en-IE"/>
              </w:rPr>
              <w:t xml:space="preserve">Did you collaborate with internal and/or external stakeholders to deliver? </w:t>
            </w:r>
          </w:p>
        </w:tc>
        <w:tc>
          <w:tcPr>
            <w:tcW w:w="7087" w:type="dxa"/>
            <w:tcMar>
              <w:left w:w="105" w:type="dxa"/>
              <w:right w:w="105" w:type="dxa"/>
            </w:tcMar>
          </w:tcPr>
          <w:p w:rsidRPr="0087239C" w:rsidR="006A77B1" w:rsidP="00ED283B" w:rsidRDefault="00B91D60" w14:paraId="6A7138D7" w14:textId="52C10352">
            <w:pPr>
              <w:spacing w:line="259" w:lineRule="auto"/>
              <w:rPr>
                <w:rFonts w:eastAsiaTheme="minorEastAsia"/>
                <w:lang w:val="en-IE"/>
              </w:rPr>
            </w:pPr>
            <w:r w:rsidRPr="0087239C">
              <w:rPr>
                <w:rFonts w:eastAsiaTheme="minorEastAsia"/>
                <w:lang w:val="en-IE"/>
              </w:rPr>
              <w:t xml:space="preserve">Cross-university collaboration with Academic and PMSS staff (as applicable) to enable and facilitate in-class participation during the second iteration of the survey. </w:t>
            </w:r>
            <w:r w:rsidRPr="0087239C" w:rsidR="003152D8">
              <w:rPr>
                <w:rFonts w:eastAsiaTheme="minorEastAsia"/>
                <w:lang w:val="en-IE"/>
              </w:rPr>
              <w:t xml:space="preserve"> </w:t>
            </w:r>
          </w:p>
        </w:tc>
      </w:tr>
      <w:tr w:rsidR="4D76C2C4" w:rsidTr="46768E79" w14:paraId="2ADBBECD" w14:textId="77777777">
        <w:trPr>
          <w:trHeight w:val="300"/>
        </w:trPr>
        <w:tc>
          <w:tcPr>
            <w:tcW w:w="2689" w:type="dxa"/>
            <w:tcMar>
              <w:left w:w="105" w:type="dxa"/>
              <w:right w:w="105" w:type="dxa"/>
            </w:tcMar>
          </w:tcPr>
          <w:p w:rsidR="4D76C2C4" w:rsidP="00ED283B" w:rsidRDefault="0F40D9B9" w14:paraId="09107B22" w14:textId="1BB77F74">
            <w:pPr>
              <w:spacing w:line="259" w:lineRule="auto"/>
              <w:rPr>
                <w:rFonts w:eastAsiaTheme="minorEastAsia"/>
                <w:b/>
                <w:bCs/>
              </w:rPr>
            </w:pPr>
            <w:r w:rsidRPr="4D76C2C4">
              <w:rPr>
                <w:rFonts w:eastAsiaTheme="minorEastAsia"/>
                <w:b/>
                <w:bCs/>
              </w:rPr>
              <w:t xml:space="preserve">How was </w:t>
            </w:r>
            <w:r w:rsidR="00917993">
              <w:rPr>
                <w:rFonts w:eastAsiaTheme="minorEastAsia"/>
                <w:b/>
                <w:bCs/>
              </w:rPr>
              <w:t xml:space="preserve">the initiative </w:t>
            </w:r>
            <w:proofErr w:type="spellStart"/>
            <w:r w:rsidRPr="4D76C2C4">
              <w:rPr>
                <w:rFonts w:eastAsiaTheme="minorEastAsia"/>
                <w:b/>
                <w:bCs/>
              </w:rPr>
              <w:t>organised</w:t>
            </w:r>
            <w:proofErr w:type="spellEnd"/>
            <w:r w:rsidR="008D7D1D">
              <w:rPr>
                <w:rFonts w:eastAsiaTheme="minorEastAsia"/>
                <w:b/>
                <w:bCs/>
              </w:rPr>
              <w:t>?</w:t>
            </w:r>
          </w:p>
        </w:tc>
        <w:tc>
          <w:tcPr>
            <w:tcW w:w="7087" w:type="dxa"/>
            <w:tcMar>
              <w:left w:w="105" w:type="dxa"/>
              <w:right w:w="105" w:type="dxa"/>
            </w:tcMar>
          </w:tcPr>
          <w:p w:rsidR="002458D2" w:rsidP="00ED283B" w:rsidRDefault="001D1926" w14:paraId="034FE481" w14:textId="6E5EEA9C">
            <w:pPr>
              <w:spacing w:line="259" w:lineRule="auto"/>
              <w:rPr>
                <w:rFonts w:eastAsiaTheme="minorEastAsia"/>
                <w:color w:val="3B3838" w:themeColor="background2" w:themeShade="40"/>
                <w:lang w:val="en-IE"/>
              </w:rPr>
            </w:pPr>
            <w:r>
              <w:rPr>
                <w:rFonts w:cstheme="minorHAnsi"/>
              </w:rPr>
              <w:t>The Host Institution’s Research Ethics Committee granted ethical approval</w:t>
            </w:r>
            <w:r w:rsidR="00094DCC">
              <w:rPr>
                <w:rFonts w:cstheme="minorHAnsi"/>
              </w:rPr>
              <w:t xml:space="preserve"> to disseminate a 42-item web-based questionnaire to first-year undergraduate students across six campuses in Munster Technological University (MTU).</w:t>
            </w:r>
          </w:p>
          <w:p w:rsidR="006A77B1" w:rsidP="00ED283B" w:rsidRDefault="00B91D60" w14:paraId="6E2901F7" w14:textId="77777777">
            <w:pPr>
              <w:spacing w:line="259" w:lineRule="auto"/>
              <w:rPr>
                <w:rFonts w:eastAsiaTheme="minorEastAsia"/>
                <w:color w:val="3B3838" w:themeColor="background2" w:themeShade="40"/>
                <w:lang w:val="en-IE"/>
              </w:rPr>
            </w:pPr>
            <w:r>
              <w:rPr>
                <w:rFonts w:eastAsiaTheme="minorEastAsia"/>
                <w:color w:val="3B3838" w:themeColor="background2" w:themeShade="40"/>
                <w:lang w:val="en-IE"/>
              </w:rPr>
              <w:t xml:space="preserve">The Research Team were also facilitated to attend ‘in-person’ during a Year 1 Semester 1 mandatory module, so that students could be enabled to complete the survey. </w:t>
            </w:r>
          </w:p>
          <w:p w:rsidRPr="0079733A" w:rsidR="00B91D60" w:rsidP="00ED283B" w:rsidRDefault="00B91D60" w14:paraId="2768337B" w14:textId="55785779">
            <w:pPr>
              <w:spacing w:line="259" w:lineRule="auto"/>
              <w:rPr>
                <w:rFonts w:eastAsiaTheme="minorEastAsia"/>
                <w:color w:val="3B3838" w:themeColor="background2" w:themeShade="40"/>
                <w:lang w:val="en-IE"/>
              </w:rPr>
            </w:pPr>
          </w:p>
        </w:tc>
      </w:tr>
      <w:tr w:rsidR="4D76C2C4" w:rsidTr="46768E79" w14:paraId="33795CBD" w14:textId="77777777">
        <w:trPr>
          <w:trHeight w:val="300"/>
        </w:trPr>
        <w:tc>
          <w:tcPr>
            <w:tcW w:w="2689" w:type="dxa"/>
            <w:tcMar>
              <w:left w:w="105" w:type="dxa"/>
              <w:right w:w="105" w:type="dxa"/>
            </w:tcMar>
          </w:tcPr>
          <w:p w:rsidRPr="00EB70A8" w:rsidR="4D76C2C4" w:rsidP="00ED283B" w:rsidRDefault="0F40D9B9" w14:paraId="6BF58664" w14:textId="14864F29">
            <w:pPr>
              <w:rPr>
                <w:rFonts w:eastAsiaTheme="minorEastAsia"/>
                <w:b/>
                <w:bCs/>
              </w:rPr>
            </w:pPr>
            <w:r w:rsidRPr="4D76C2C4">
              <w:rPr>
                <w:rFonts w:eastAsiaTheme="minorEastAsia"/>
                <w:b/>
                <w:bCs/>
              </w:rPr>
              <w:t>What resources did you need?</w:t>
            </w:r>
          </w:p>
        </w:tc>
        <w:tc>
          <w:tcPr>
            <w:tcW w:w="7087" w:type="dxa"/>
            <w:tcMar>
              <w:left w:w="105" w:type="dxa"/>
              <w:right w:w="105" w:type="dxa"/>
            </w:tcMar>
          </w:tcPr>
          <w:p w:rsidRPr="00E754B8" w:rsidR="006A77B1" w:rsidP="00ED283B" w:rsidRDefault="004734FB" w14:paraId="3C499DDE" w14:textId="49C05364">
            <w:pPr>
              <w:spacing w:line="259" w:lineRule="auto"/>
              <w:rPr>
                <w:rFonts w:eastAsiaTheme="minorEastAsia"/>
                <w:lang w:val="en-IE"/>
              </w:rPr>
            </w:pPr>
            <w:r w:rsidRPr="00E754B8">
              <w:rPr>
                <w:rFonts w:eastAsiaTheme="minorEastAsia"/>
                <w:lang w:val="en-IE"/>
              </w:rPr>
              <w:t xml:space="preserve">The </w:t>
            </w:r>
            <w:r w:rsidR="00B91D60">
              <w:rPr>
                <w:rFonts w:eastAsiaTheme="minorEastAsia"/>
                <w:lang w:val="en-IE"/>
              </w:rPr>
              <w:t xml:space="preserve">survey </w:t>
            </w:r>
            <w:r w:rsidRPr="00E754B8">
              <w:rPr>
                <w:rFonts w:eastAsiaTheme="minorEastAsia"/>
                <w:lang w:val="en-IE"/>
              </w:rPr>
              <w:t>was disseminated using the Qualtrics platform, ensuring GDPR compliance.</w:t>
            </w:r>
          </w:p>
          <w:p w:rsidRPr="0079733A" w:rsidR="0066071F" w:rsidP="00ED283B" w:rsidRDefault="0066071F" w14:paraId="39977763" w14:textId="59DD17AF">
            <w:pPr>
              <w:spacing w:line="259" w:lineRule="auto"/>
              <w:rPr>
                <w:rFonts w:eastAsiaTheme="minorEastAsia"/>
                <w:color w:val="3B3838" w:themeColor="background2" w:themeShade="40"/>
                <w:lang w:val="en-IE"/>
              </w:rPr>
            </w:pPr>
            <w:r w:rsidRPr="00E754B8">
              <w:rPr>
                <w:rFonts w:eastAsiaTheme="minorEastAsia"/>
                <w:lang w:val="en-IE"/>
              </w:rPr>
              <w:lastRenderedPageBreak/>
              <w:t xml:space="preserve">Email dissemination was facilitated using the </w:t>
            </w:r>
            <w:r w:rsidRPr="00E754B8" w:rsidR="00D03260">
              <w:rPr>
                <w:rFonts w:eastAsiaTheme="minorEastAsia"/>
                <w:lang w:val="en-IE"/>
              </w:rPr>
              <w:t>University's centralised</w:t>
            </w:r>
            <w:r w:rsidRPr="00E754B8" w:rsidR="002572D9">
              <w:rPr>
                <w:rFonts w:eastAsiaTheme="minorEastAsia"/>
                <w:lang w:val="en-IE"/>
              </w:rPr>
              <w:t xml:space="preserve"> email system</w:t>
            </w:r>
            <w:r w:rsidRPr="00E754B8" w:rsidR="00D03260">
              <w:rPr>
                <w:rFonts w:eastAsiaTheme="minorEastAsia"/>
                <w:lang w:val="en-IE"/>
              </w:rPr>
              <w:t xml:space="preserve"> to Year 1 undergraduates only. </w:t>
            </w:r>
          </w:p>
        </w:tc>
      </w:tr>
      <w:tr w:rsidR="4D76C2C4" w:rsidTr="46768E79" w14:paraId="7F224A2A" w14:textId="77777777">
        <w:trPr>
          <w:trHeight w:val="300"/>
        </w:trPr>
        <w:tc>
          <w:tcPr>
            <w:tcW w:w="2689" w:type="dxa"/>
            <w:tcMar>
              <w:left w:w="105" w:type="dxa"/>
              <w:right w:w="105" w:type="dxa"/>
            </w:tcMar>
          </w:tcPr>
          <w:p w:rsidRPr="00147059" w:rsidR="4D76C2C4" w:rsidP="00147059" w:rsidRDefault="0F40D9B9" w14:paraId="33D86CB8" w14:textId="58C668BB">
            <w:pPr>
              <w:rPr>
                <w:rFonts w:eastAsiaTheme="minorEastAsia"/>
                <w:b/>
                <w:bCs/>
              </w:rPr>
            </w:pPr>
            <w:r w:rsidRPr="4D76C2C4">
              <w:rPr>
                <w:rFonts w:eastAsiaTheme="minorEastAsia"/>
                <w:b/>
                <w:bCs/>
              </w:rPr>
              <w:lastRenderedPageBreak/>
              <w:t xml:space="preserve">Has it been evaluated? How </w:t>
            </w:r>
            <w:r w:rsidR="006A77B1">
              <w:rPr>
                <w:rFonts w:eastAsiaTheme="minorEastAsia"/>
                <w:b/>
                <w:bCs/>
              </w:rPr>
              <w:t>s</w:t>
            </w:r>
            <w:r w:rsidRPr="4D76C2C4">
              <w:rPr>
                <w:rFonts w:eastAsiaTheme="minorEastAsia"/>
                <w:b/>
                <w:bCs/>
              </w:rPr>
              <w:t>uccessful has it been?</w:t>
            </w:r>
            <w:r w:rsidRPr="4D76C2C4" w:rsidR="682E8AFD">
              <w:rPr>
                <w:rFonts w:eastAsiaTheme="minorEastAsia"/>
                <w:b/>
                <w:bCs/>
              </w:rPr>
              <w:t xml:space="preserve"> </w:t>
            </w:r>
          </w:p>
        </w:tc>
        <w:tc>
          <w:tcPr>
            <w:tcW w:w="7087" w:type="dxa"/>
            <w:tcMar>
              <w:left w:w="105" w:type="dxa"/>
              <w:right w:w="105" w:type="dxa"/>
            </w:tcMar>
          </w:tcPr>
          <w:p w:rsidRPr="00DB0509" w:rsidR="006A77B1" w:rsidP="00ED283B" w:rsidRDefault="00D564B6" w14:paraId="10C29246" w14:textId="0DFA299B">
            <w:pPr>
              <w:spacing w:line="259" w:lineRule="auto"/>
              <w:rPr>
                <w:rFonts w:eastAsiaTheme="minorEastAsia"/>
                <w:color w:val="3B3838" w:themeColor="background2" w:themeShade="40"/>
              </w:rPr>
            </w:pPr>
            <w:r>
              <w:rPr>
                <w:rFonts w:eastAsiaTheme="minorEastAsia"/>
                <w:color w:val="3B3838" w:themeColor="background2" w:themeShade="40"/>
              </w:rPr>
              <w:t xml:space="preserve">N/A </w:t>
            </w:r>
          </w:p>
        </w:tc>
      </w:tr>
      <w:tr w:rsidR="4D76C2C4" w:rsidTr="46768E79" w14:paraId="028628C8" w14:textId="77777777">
        <w:trPr>
          <w:trHeight w:val="300"/>
        </w:trPr>
        <w:tc>
          <w:tcPr>
            <w:tcW w:w="2689" w:type="dxa"/>
            <w:tcMar>
              <w:left w:w="105" w:type="dxa"/>
              <w:right w:w="105" w:type="dxa"/>
            </w:tcMar>
          </w:tcPr>
          <w:p w:rsidR="4D76C2C4" w:rsidP="00ED283B" w:rsidRDefault="006A77B1" w14:paraId="49CC987B" w14:textId="0EA1F8CD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 xml:space="preserve">Any </w:t>
            </w:r>
            <w:proofErr w:type="gramStart"/>
            <w:r>
              <w:rPr>
                <w:rFonts w:eastAsiaTheme="minorEastAsia"/>
                <w:b/>
                <w:bCs/>
              </w:rPr>
              <w:t>future plans</w:t>
            </w:r>
            <w:proofErr w:type="gramEnd"/>
            <w:r w:rsidR="00DC7317">
              <w:rPr>
                <w:rFonts w:eastAsiaTheme="minorEastAsia"/>
                <w:b/>
                <w:bCs/>
              </w:rPr>
              <w:t>,</w:t>
            </w:r>
            <w:r>
              <w:rPr>
                <w:rFonts w:eastAsiaTheme="minorEastAsia"/>
                <w:b/>
                <w:bCs/>
              </w:rPr>
              <w:t xml:space="preserve"> including </w:t>
            </w:r>
            <w:r w:rsidR="008D7D1D">
              <w:rPr>
                <w:rFonts w:eastAsiaTheme="minorEastAsia"/>
                <w:b/>
                <w:bCs/>
              </w:rPr>
              <w:t xml:space="preserve">the </w:t>
            </w:r>
            <w:r>
              <w:rPr>
                <w:rFonts w:eastAsiaTheme="minorEastAsia"/>
                <w:b/>
                <w:bCs/>
              </w:rPr>
              <w:t xml:space="preserve">sustainability of the initiative? </w:t>
            </w:r>
          </w:p>
        </w:tc>
        <w:tc>
          <w:tcPr>
            <w:tcW w:w="7087" w:type="dxa"/>
            <w:tcMar>
              <w:left w:w="105" w:type="dxa"/>
              <w:right w:w="105" w:type="dxa"/>
            </w:tcMar>
          </w:tcPr>
          <w:p w:rsidR="00147059" w:rsidP="00D72B14" w:rsidRDefault="002B3129" w14:paraId="5EC84C05" w14:textId="43ED95AB">
            <w:pPr>
              <w:jc w:val="both"/>
              <w:rPr>
                <w:rFonts w:ascii="Calibri" w:hAnsi="Calibri" w:eastAsia="Calibri" w:cs="Calibri"/>
                <w:color w:val="000000" w:themeColor="text1"/>
                <w:lang w:val="en-IE"/>
              </w:rPr>
            </w:pPr>
            <w:r>
              <w:rPr>
                <w:rFonts w:ascii="Calibri" w:hAnsi="Calibri" w:eastAsia="Calibri" w:cs="Calibri"/>
                <w:color w:val="000000" w:themeColor="text1"/>
                <w:lang w:val="en-IE"/>
              </w:rPr>
              <w:t xml:space="preserve">Subsequent longitudinal research </w:t>
            </w:r>
            <w:r w:rsidR="00367728">
              <w:rPr>
                <w:rFonts w:ascii="Calibri" w:hAnsi="Calibri" w:eastAsia="Calibri" w:cs="Calibri"/>
                <w:color w:val="000000" w:themeColor="text1"/>
                <w:lang w:val="en-IE"/>
              </w:rPr>
              <w:t>aims to e</w:t>
            </w:r>
            <w:r w:rsidR="00171AB4">
              <w:rPr>
                <w:rFonts w:ascii="Calibri" w:hAnsi="Calibri" w:eastAsia="Calibri" w:cs="Calibri"/>
                <w:color w:val="000000" w:themeColor="text1"/>
                <w:lang w:val="en-IE"/>
              </w:rPr>
              <w:t xml:space="preserve">xplore the </w:t>
            </w:r>
            <w:r w:rsidR="005D21A7">
              <w:rPr>
                <w:rFonts w:ascii="Calibri" w:hAnsi="Calibri" w:eastAsia="Calibri" w:cs="Calibri"/>
                <w:color w:val="000000" w:themeColor="text1"/>
                <w:lang w:val="en-IE"/>
              </w:rPr>
              <w:t>impact</w:t>
            </w:r>
            <w:r w:rsidR="00F433AE">
              <w:rPr>
                <w:rFonts w:ascii="Calibri" w:hAnsi="Calibri" w:eastAsia="Calibri" w:cs="Calibri"/>
                <w:color w:val="000000" w:themeColor="text1"/>
                <w:lang w:val="en-IE"/>
              </w:rPr>
              <w:t xml:space="preserve"> of </w:t>
            </w:r>
            <w:r w:rsidR="00B91D60">
              <w:rPr>
                <w:rFonts w:ascii="Calibri" w:hAnsi="Calibri" w:eastAsia="Calibri" w:cs="Calibri"/>
                <w:color w:val="000000" w:themeColor="text1"/>
                <w:lang w:val="en-IE"/>
              </w:rPr>
              <w:t>the transition</w:t>
            </w:r>
            <w:r w:rsidR="00D72B14">
              <w:rPr>
                <w:rFonts w:ascii="Calibri" w:hAnsi="Calibri" w:eastAsia="Calibri" w:cs="Calibri"/>
                <w:color w:val="000000" w:themeColor="text1"/>
                <w:lang w:val="en-IE"/>
              </w:rPr>
              <w:t xml:space="preserve"> to higher </w:t>
            </w:r>
            <w:r w:rsidR="009007A2">
              <w:rPr>
                <w:rFonts w:ascii="Calibri" w:hAnsi="Calibri" w:eastAsia="Calibri" w:cs="Calibri"/>
                <w:color w:val="000000" w:themeColor="text1"/>
                <w:lang w:val="en-IE"/>
              </w:rPr>
              <w:t>education</w:t>
            </w:r>
            <w:r w:rsidR="00D72B14">
              <w:rPr>
                <w:rFonts w:ascii="Calibri" w:hAnsi="Calibri" w:eastAsia="Calibri" w:cs="Calibri"/>
                <w:color w:val="000000" w:themeColor="text1"/>
                <w:lang w:val="en-IE"/>
              </w:rPr>
              <w:t xml:space="preserve"> on </w:t>
            </w:r>
            <w:r w:rsidR="00171AB4">
              <w:rPr>
                <w:rFonts w:ascii="Calibri" w:hAnsi="Calibri" w:eastAsia="Calibri" w:cs="Calibri"/>
                <w:color w:val="000000" w:themeColor="text1"/>
                <w:lang w:val="en-IE"/>
              </w:rPr>
              <w:t xml:space="preserve">participants’ dietary </w:t>
            </w:r>
            <w:r w:rsidR="00501650">
              <w:rPr>
                <w:rFonts w:ascii="Calibri" w:hAnsi="Calibri" w:eastAsia="Calibri" w:cs="Calibri"/>
                <w:color w:val="000000" w:themeColor="text1"/>
                <w:lang w:val="en-IE"/>
              </w:rPr>
              <w:t>behaviours</w:t>
            </w:r>
            <w:r w:rsidR="003C7DEA">
              <w:rPr>
                <w:rFonts w:ascii="Calibri" w:hAnsi="Calibri" w:eastAsia="Calibri" w:cs="Calibri"/>
                <w:color w:val="000000" w:themeColor="text1"/>
                <w:lang w:val="en-IE"/>
              </w:rPr>
              <w:t>, alcohol consumption,</w:t>
            </w:r>
            <w:r w:rsidR="00882BD0">
              <w:rPr>
                <w:rFonts w:ascii="Calibri" w:hAnsi="Calibri" w:eastAsia="Calibri" w:cs="Calibri"/>
                <w:color w:val="000000" w:themeColor="text1"/>
                <w:lang w:val="en-IE"/>
              </w:rPr>
              <w:t xml:space="preserve"> </w:t>
            </w:r>
            <w:r w:rsidR="00367728">
              <w:rPr>
                <w:rFonts w:ascii="Calibri" w:hAnsi="Calibri" w:eastAsia="Calibri" w:cs="Calibri"/>
                <w:color w:val="000000" w:themeColor="text1"/>
                <w:lang w:val="en-IE"/>
              </w:rPr>
              <w:t>and changes in body mass index</w:t>
            </w:r>
            <w:r w:rsidR="00D72B14">
              <w:rPr>
                <w:rFonts w:ascii="Calibri" w:hAnsi="Calibri" w:eastAsia="Calibri" w:cs="Calibri"/>
                <w:color w:val="000000" w:themeColor="text1"/>
                <w:lang w:val="en-IE"/>
              </w:rPr>
              <w:t xml:space="preserve">. </w:t>
            </w:r>
          </w:p>
          <w:p w:rsidR="00B91D60" w:rsidP="00D72B14" w:rsidRDefault="00B91D60" w14:paraId="2A379AF5" w14:textId="77777777">
            <w:pPr>
              <w:jc w:val="both"/>
              <w:rPr>
                <w:rFonts w:ascii="Calibri" w:hAnsi="Calibri" w:eastAsia="Calibri" w:cs="Calibri"/>
                <w:color w:val="000000" w:themeColor="text1"/>
                <w:lang w:val="en-IE"/>
              </w:rPr>
            </w:pPr>
          </w:p>
          <w:p w:rsidR="00B91D60" w:rsidP="00D72B14" w:rsidRDefault="00B91D60" w14:paraId="7F28DCB9" w14:textId="77777777">
            <w:pPr>
              <w:jc w:val="both"/>
              <w:rPr>
                <w:rFonts w:ascii="Calibri" w:hAnsi="Calibri" w:eastAsia="Calibri" w:cs="Calibri"/>
                <w:color w:val="000000" w:themeColor="text1"/>
                <w:lang w:val="en-IE"/>
              </w:rPr>
            </w:pPr>
            <w:r>
              <w:rPr>
                <w:rFonts w:ascii="Calibri" w:hAnsi="Calibri" w:eastAsia="Calibri" w:cs="Calibri"/>
                <w:color w:val="000000" w:themeColor="text1"/>
                <w:lang w:val="en-IE"/>
              </w:rPr>
              <w:t>This research will inform critical</w:t>
            </w:r>
            <w:r w:rsidR="000E0A14">
              <w:rPr>
                <w:rFonts w:ascii="Calibri" w:hAnsi="Calibri" w:eastAsia="Calibri" w:cs="Calibri"/>
                <w:color w:val="000000" w:themeColor="text1"/>
                <w:lang w:val="en-IE"/>
              </w:rPr>
              <w:t xml:space="preserve"> </w:t>
            </w:r>
            <w:r w:rsidR="00C61FD1">
              <w:rPr>
                <w:rFonts w:ascii="Calibri" w:hAnsi="Calibri" w:eastAsia="Calibri" w:cs="Calibri"/>
                <w:color w:val="000000" w:themeColor="text1"/>
                <w:lang w:val="en-IE"/>
              </w:rPr>
              <w:t xml:space="preserve">initiatives </w:t>
            </w:r>
            <w:r w:rsidR="005E4CD2">
              <w:rPr>
                <w:rFonts w:ascii="Calibri" w:hAnsi="Calibri" w:eastAsia="Calibri" w:cs="Calibri"/>
                <w:color w:val="000000" w:themeColor="text1"/>
                <w:lang w:val="en-IE"/>
              </w:rPr>
              <w:t>to foster</w:t>
            </w:r>
            <w:r w:rsidR="00AA2A5B">
              <w:rPr>
                <w:rFonts w:ascii="Calibri" w:hAnsi="Calibri" w:eastAsia="Calibri" w:cs="Calibri"/>
                <w:color w:val="000000" w:themeColor="text1"/>
                <w:lang w:val="en-IE"/>
              </w:rPr>
              <w:t xml:space="preserve"> health-promoting behavio</w:t>
            </w:r>
            <w:r w:rsidR="005E4CD2">
              <w:rPr>
                <w:rFonts w:ascii="Calibri" w:hAnsi="Calibri" w:eastAsia="Calibri" w:cs="Calibri"/>
                <w:color w:val="000000" w:themeColor="text1"/>
                <w:lang w:val="en-IE"/>
              </w:rPr>
              <w:t>u</w:t>
            </w:r>
            <w:r w:rsidR="00AA2A5B">
              <w:rPr>
                <w:rFonts w:ascii="Calibri" w:hAnsi="Calibri" w:eastAsia="Calibri" w:cs="Calibri"/>
                <w:color w:val="000000" w:themeColor="text1"/>
                <w:lang w:val="en-IE"/>
              </w:rPr>
              <w:t>rs</w:t>
            </w:r>
            <w:r w:rsidR="004249CC">
              <w:rPr>
                <w:rFonts w:ascii="Calibri" w:hAnsi="Calibri" w:eastAsia="Calibri" w:cs="Calibri"/>
                <w:color w:val="000000" w:themeColor="text1"/>
                <w:lang w:val="en-IE"/>
              </w:rPr>
              <w:t xml:space="preserve"> within </w:t>
            </w:r>
            <w:r>
              <w:rPr>
                <w:rFonts w:ascii="Calibri" w:hAnsi="Calibri" w:eastAsia="Calibri" w:cs="Calibri"/>
                <w:color w:val="000000" w:themeColor="text1"/>
                <w:lang w:val="en-IE"/>
              </w:rPr>
              <w:t xml:space="preserve">the higher education environment. </w:t>
            </w:r>
          </w:p>
          <w:p w:rsidRPr="00C61FD1" w:rsidR="4D76C2C4" w:rsidP="00D72B14" w:rsidRDefault="00305B8A" w14:paraId="61B8B64A" w14:textId="17B88C47">
            <w:pPr>
              <w:jc w:val="both"/>
              <w:rPr>
                <w:rFonts w:ascii="Calibri" w:hAnsi="Calibri" w:eastAsia="Calibri" w:cs="Calibri"/>
                <w:color w:val="000000" w:themeColor="text1"/>
                <w:lang w:val="en-IE"/>
              </w:rPr>
            </w:pPr>
            <w:r>
              <w:rPr>
                <w:rFonts w:ascii="Calibri" w:hAnsi="Calibri" w:eastAsia="Calibri" w:cs="Calibri"/>
                <w:color w:val="000000" w:themeColor="text1"/>
                <w:lang w:val="en-IE"/>
              </w:rPr>
              <w:t xml:space="preserve"> </w:t>
            </w:r>
          </w:p>
        </w:tc>
      </w:tr>
      <w:tr w:rsidR="4D76C2C4" w:rsidTr="46768E79" w14:paraId="3D1D165A" w14:textId="77777777">
        <w:trPr>
          <w:trHeight w:val="300"/>
        </w:trPr>
        <w:tc>
          <w:tcPr>
            <w:tcW w:w="2689" w:type="dxa"/>
            <w:tcMar>
              <w:left w:w="105" w:type="dxa"/>
              <w:right w:w="105" w:type="dxa"/>
            </w:tcMar>
          </w:tcPr>
          <w:p w:rsidR="0F40D9B9" w:rsidP="00ED283B" w:rsidRDefault="0F40D9B9" w14:paraId="14999AA8" w14:textId="58EAF9A0">
            <w:pPr>
              <w:rPr>
                <w:rFonts w:eastAsiaTheme="minorEastAsia"/>
                <w:b/>
                <w:bCs/>
              </w:rPr>
            </w:pPr>
            <w:r w:rsidRPr="4D76C2C4">
              <w:rPr>
                <w:rFonts w:eastAsiaTheme="minorEastAsia"/>
                <w:b/>
                <w:bCs/>
              </w:rPr>
              <w:t>Key Learning Points</w:t>
            </w:r>
          </w:p>
          <w:p w:rsidR="4D76C2C4" w:rsidP="00ED283B" w:rsidRDefault="4D76C2C4" w14:paraId="750C960A" w14:textId="7A9D40E2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7087" w:type="dxa"/>
            <w:tcMar>
              <w:left w:w="105" w:type="dxa"/>
              <w:right w:w="105" w:type="dxa"/>
            </w:tcMar>
          </w:tcPr>
          <w:p w:rsidRPr="00B91D60" w:rsidR="009378FF" w:rsidP="00B91D60" w:rsidRDefault="00971C52" w14:paraId="74E8D228" w14:textId="5F240E9B">
            <w:pPr>
              <w:pStyle w:val="ListParagraph"/>
              <w:numPr>
                <w:ilvl w:val="0"/>
                <w:numId w:val="5"/>
              </w:numPr>
              <w:jc w:val="both"/>
              <w:rPr>
                <w:rFonts w:eastAsiaTheme="minorEastAsia"/>
              </w:rPr>
            </w:pPr>
            <w:r w:rsidRPr="00B91D60">
              <w:rPr>
                <w:rFonts w:eastAsiaTheme="minorEastAsia"/>
              </w:rPr>
              <w:t xml:space="preserve">Sub-optimal dietary behaviours, </w:t>
            </w:r>
            <w:r w:rsidRPr="00B91D60" w:rsidR="00587E92">
              <w:rPr>
                <w:rFonts w:eastAsiaTheme="minorEastAsia"/>
              </w:rPr>
              <w:t xml:space="preserve">and hazardous alcohol consumption patterns, </w:t>
            </w:r>
            <w:proofErr w:type="gramStart"/>
            <w:r w:rsidRPr="00B91D60" w:rsidR="00587E92">
              <w:rPr>
                <w:rFonts w:eastAsiaTheme="minorEastAsia"/>
              </w:rPr>
              <w:t>similar to</w:t>
            </w:r>
            <w:proofErr w:type="gramEnd"/>
            <w:r w:rsidRPr="00B91D60" w:rsidR="00587E92">
              <w:rPr>
                <w:rFonts w:eastAsiaTheme="minorEastAsia"/>
              </w:rPr>
              <w:t xml:space="preserve"> international research were </w:t>
            </w:r>
            <w:r w:rsidRPr="00B91D60" w:rsidR="00B05A4F">
              <w:rPr>
                <w:rFonts w:eastAsiaTheme="minorEastAsia"/>
              </w:rPr>
              <w:t xml:space="preserve">prevalence across this multi-campus university setting. </w:t>
            </w:r>
          </w:p>
          <w:p w:rsidRPr="00FC7143" w:rsidR="00B91D60" w:rsidP="00135AE5" w:rsidRDefault="00B91D60" w14:paraId="700808B7" w14:textId="77777777">
            <w:pPr>
              <w:jc w:val="both"/>
              <w:rPr>
                <w:rFonts w:eastAsiaTheme="minorEastAsia"/>
              </w:rPr>
            </w:pPr>
          </w:p>
          <w:p w:rsidRPr="00B91D60" w:rsidR="00FC7143" w:rsidP="00B91D60" w:rsidRDefault="00FC7143" w14:paraId="0FB3B05E" w14:textId="05F5EA88">
            <w:pPr>
              <w:pStyle w:val="ListParagraph"/>
              <w:numPr>
                <w:ilvl w:val="0"/>
                <w:numId w:val="5"/>
              </w:numPr>
              <w:jc w:val="both"/>
              <w:rPr>
                <w:rFonts w:eastAsiaTheme="minorEastAsia"/>
              </w:rPr>
            </w:pPr>
            <w:r w:rsidRPr="00B91D60">
              <w:rPr>
                <w:rFonts w:eastAsiaTheme="minorEastAsia"/>
              </w:rPr>
              <w:t xml:space="preserve">A high prevalence of overweight and obesity was observed. </w:t>
            </w:r>
          </w:p>
          <w:p w:rsidRPr="00FC7143" w:rsidR="00B91D60" w:rsidP="00135AE5" w:rsidRDefault="00B91D60" w14:paraId="53F7FC0C" w14:textId="77777777">
            <w:pPr>
              <w:jc w:val="both"/>
              <w:rPr>
                <w:rFonts w:eastAsiaTheme="minorEastAsia"/>
              </w:rPr>
            </w:pPr>
          </w:p>
          <w:p w:rsidRPr="0087239C" w:rsidR="00FC0CA7" w:rsidP="00135AE5" w:rsidRDefault="007510B9" w14:paraId="07146E21" w14:textId="6A986677">
            <w:pPr>
              <w:pStyle w:val="ListParagraph"/>
              <w:numPr>
                <w:ilvl w:val="0"/>
                <w:numId w:val="5"/>
              </w:numPr>
              <w:jc w:val="both"/>
              <w:rPr>
                <w:rFonts w:eastAsiaTheme="minorEastAsia"/>
              </w:rPr>
            </w:pPr>
            <w:r w:rsidRPr="00B91D60">
              <w:rPr>
                <w:rFonts w:eastAsiaTheme="minorEastAsia"/>
              </w:rPr>
              <w:t>Utilising in-person recruitment methods not only boosts</w:t>
            </w:r>
            <w:r w:rsidRPr="00B91D60" w:rsidR="00B91D60">
              <w:rPr>
                <w:rFonts w:eastAsiaTheme="minorEastAsia"/>
              </w:rPr>
              <w:t xml:space="preserve"> absolute</w:t>
            </w:r>
            <w:r w:rsidRPr="00B91D60">
              <w:rPr>
                <w:rFonts w:eastAsiaTheme="minorEastAsia"/>
              </w:rPr>
              <w:t xml:space="preserve"> participation rates compared to online email dissemination but also increases </w:t>
            </w:r>
            <w:r w:rsidRPr="00B91D60" w:rsidR="00B91D60">
              <w:rPr>
                <w:rFonts w:eastAsiaTheme="minorEastAsia"/>
              </w:rPr>
              <w:t>representativeness</w:t>
            </w:r>
            <w:r w:rsidRPr="00B91D60">
              <w:rPr>
                <w:rFonts w:eastAsiaTheme="minorEastAsia"/>
              </w:rPr>
              <w:t>.</w:t>
            </w:r>
          </w:p>
        </w:tc>
      </w:tr>
    </w:tbl>
    <w:p w:rsidR="00E754B8" w:rsidP="4D76C2C4" w:rsidRDefault="00E754B8" w14:paraId="5C099E1A" w14:textId="77777777">
      <w:pPr>
        <w:rPr>
          <w:b/>
          <w:bCs/>
        </w:rPr>
      </w:pPr>
    </w:p>
    <w:p w:rsidR="59DEA8C5" w:rsidP="4D76C2C4" w:rsidRDefault="7F85B25E" w14:paraId="64F5A84B" w14:textId="2D6B2C80">
      <w:pPr>
        <w:rPr>
          <w:b/>
          <w:bCs/>
        </w:rPr>
      </w:pPr>
      <w:r w:rsidRPr="5E7918FC">
        <w:rPr>
          <w:b/>
          <w:bCs/>
        </w:rPr>
        <w:t>Healthy Campus Framework</w:t>
      </w:r>
      <w:r w:rsidRPr="5E7918FC" w:rsidR="59DEA8C5">
        <w:rPr>
          <w:b/>
          <w:bCs/>
        </w:rPr>
        <w:t xml:space="preserve"> Categories (please tick all that apply) </w:t>
      </w: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2263"/>
        <w:gridCol w:w="2268"/>
        <w:gridCol w:w="2835"/>
        <w:gridCol w:w="1994"/>
      </w:tblGrid>
      <w:tr w:rsidR="4D76C2C4" w:rsidTr="00DC7317" w14:paraId="319B47B2" w14:textId="77777777">
        <w:trPr>
          <w:trHeight w:val="300"/>
        </w:trPr>
        <w:tc>
          <w:tcPr>
            <w:tcW w:w="2263" w:type="dxa"/>
            <w:shd w:val="clear" w:color="auto" w:fill="0070C0"/>
          </w:tcPr>
          <w:p w:rsidRPr="003C71C1" w:rsidR="64C96453" w:rsidP="4D76C2C4" w:rsidRDefault="64C96453" w14:paraId="46ED7264" w14:textId="3869C337">
            <w:pPr>
              <w:rPr>
                <w:rFonts w:eastAsiaTheme="minorEastAsia"/>
                <w:b/>
                <w:bCs/>
                <w:color w:val="FFFFFF" w:themeColor="background1"/>
                <w:sz w:val="24"/>
                <w:szCs w:val="24"/>
              </w:rPr>
            </w:pPr>
            <w:r w:rsidRPr="003C71C1">
              <w:rPr>
                <w:rFonts w:eastAsiaTheme="minorEastAsia"/>
                <w:b/>
                <w:bCs/>
                <w:color w:val="FFFFFF" w:themeColor="background1"/>
                <w:sz w:val="24"/>
                <w:szCs w:val="24"/>
              </w:rPr>
              <w:t>Healthy Campus Process</w:t>
            </w:r>
          </w:p>
        </w:tc>
        <w:tc>
          <w:tcPr>
            <w:tcW w:w="2268" w:type="dxa"/>
            <w:shd w:val="clear" w:color="auto" w:fill="0070C0"/>
          </w:tcPr>
          <w:p w:rsidRPr="003C71C1" w:rsidR="56B27A20" w:rsidP="4D76C2C4" w:rsidRDefault="56B27A20" w14:paraId="3DBB4ACC" w14:textId="5E52A62F">
            <w:pPr>
              <w:spacing w:line="259" w:lineRule="auto"/>
              <w:rPr>
                <w:rFonts w:eastAsiaTheme="minorEastAsia"/>
                <w:b/>
                <w:bCs/>
                <w:color w:val="FFFFFF" w:themeColor="background1"/>
                <w:sz w:val="24"/>
                <w:szCs w:val="24"/>
              </w:rPr>
            </w:pPr>
            <w:r w:rsidRPr="003C71C1">
              <w:rPr>
                <w:rFonts w:eastAsiaTheme="minorEastAsia"/>
                <w:b/>
                <w:bCs/>
                <w:color w:val="FFFFFF" w:themeColor="background1"/>
                <w:sz w:val="24"/>
                <w:szCs w:val="24"/>
              </w:rPr>
              <w:t>Whole Campus Approach</w:t>
            </w:r>
          </w:p>
        </w:tc>
        <w:tc>
          <w:tcPr>
            <w:tcW w:w="2835" w:type="dxa"/>
            <w:shd w:val="clear" w:color="auto" w:fill="0070C0"/>
          </w:tcPr>
          <w:p w:rsidRPr="003C71C1" w:rsidR="424DE75F" w:rsidP="4D76C2C4" w:rsidRDefault="424DE75F" w14:paraId="687A0CC2" w14:textId="0ACBD1B7">
            <w:pPr>
              <w:rPr>
                <w:rFonts w:eastAsiaTheme="minorEastAsia"/>
                <w:b/>
                <w:bCs/>
                <w:color w:val="FFFFFF" w:themeColor="background1"/>
                <w:sz w:val="24"/>
                <w:szCs w:val="24"/>
              </w:rPr>
            </w:pPr>
            <w:r w:rsidRPr="003C71C1">
              <w:rPr>
                <w:rFonts w:eastAsiaTheme="minorEastAsia"/>
                <w:b/>
                <w:bCs/>
                <w:color w:val="FFFFFF" w:themeColor="background1"/>
                <w:sz w:val="24"/>
                <w:szCs w:val="24"/>
              </w:rPr>
              <w:t>Topic</w:t>
            </w:r>
          </w:p>
        </w:tc>
        <w:tc>
          <w:tcPr>
            <w:tcW w:w="1994" w:type="dxa"/>
            <w:shd w:val="clear" w:color="auto" w:fill="0070C0"/>
          </w:tcPr>
          <w:p w:rsidRPr="003C71C1" w:rsidR="53FC4483" w:rsidP="4D76C2C4" w:rsidRDefault="53FC4483" w14:paraId="5A1947A2" w14:textId="476F5D3D">
            <w:pPr>
              <w:spacing w:line="259" w:lineRule="auto"/>
              <w:rPr>
                <w:rFonts w:eastAsiaTheme="minorEastAsia"/>
                <w:b/>
                <w:bCs/>
                <w:color w:val="FFFFFF" w:themeColor="background1"/>
                <w:sz w:val="24"/>
                <w:szCs w:val="24"/>
              </w:rPr>
            </w:pPr>
            <w:r w:rsidRPr="003C71C1">
              <w:rPr>
                <w:rFonts w:eastAsiaTheme="minorEastAsia"/>
                <w:b/>
                <w:bCs/>
                <w:color w:val="FFFFFF" w:themeColor="background1"/>
                <w:sz w:val="24"/>
                <w:szCs w:val="24"/>
              </w:rPr>
              <w:t>Population Group</w:t>
            </w:r>
          </w:p>
        </w:tc>
      </w:tr>
      <w:tr w:rsidR="4D76C2C4" w:rsidTr="00DC7317" w14:paraId="6C0480C4" w14:textId="77777777">
        <w:trPr>
          <w:trHeight w:val="300"/>
        </w:trPr>
        <w:tc>
          <w:tcPr>
            <w:tcW w:w="2263" w:type="dxa"/>
          </w:tcPr>
          <w:p w:rsidR="004B67D1" w:rsidP="004B67D1" w:rsidRDefault="64C96453" w14:paraId="3A82DAC8" w14:textId="42E8389D">
            <w:r w:rsidRPr="4D76C2C4">
              <w:rPr>
                <w:rFonts w:eastAsiaTheme="minorEastAsia"/>
              </w:rPr>
              <w:t>Commit</w:t>
            </w:r>
            <w:r w:rsidR="004B67D1">
              <w:t xml:space="preserve"> </w:t>
            </w:r>
            <w:sdt>
              <w:sdtPr>
                <w:id w:val="266208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67D1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  <w:p w:rsidR="64C96453" w:rsidP="4D76C2C4" w:rsidRDefault="64C96453" w14:paraId="52BC13C2" w14:textId="490FF117">
            <w:pPr>
              <w:rPr>
                <w:rFonts w:eastAsiaTheme="minorEastAsia"/>
              </w:rPr>
            </w:pPr>
          </w:p>
        </w:tc>
        <w:tc>
          <w:tcPr>
            <w:tcW w:w="2268" w:type="dxa"/>
          </w:tcPr>
          <w:p w:rsidRPr="0087239C" w:rsidR="4D76C2C4" w:rsidP="4D76C2C4" w:rsidRDefault="0BFDBB8F" w14:paraId="1C54432A" w14:textId="5613B7A6">
            <w:r w:rsidRPr="4D76C2C4">
              <w:rPr>
                <w:rFonts w:eastAsiaTheme="minorEastAsia"/>
              </w:rPr>
              <w:t xml:space="preserve">Leadership, Strategy </w:t>
            </w:r>
            <w:r w:rsidRPr="4D76C2C4" w:rsidR="3A69ACFB">
              <w:rPr>
                <w:rFonts w:eastAsiaTheme="minorEastAsia"/>
              </w:rPr>
              <w:t xml:space="preserve">&amp; </w:t>
            </w:r>
            <w:r w:rsidRPr="4D76C2C4">
              <w:rPr>
                <w:rFonts w:eastAsiaTheme="minorEastAsia"/>
              </w:rPr>
              <w:t>Governance</w:t>
            </w:r>
            <w:r w:rsidR="004B67D1">
              <w:rPr>
                <w:rFonts w:eastAsiaTheme="minorEastAsia"/>
              </w:rPr>
              <w:t xml:space="preserve"> </w:t>
            </w:r>
            <w:sdt>
              <w:sdtPr>
                <w:id w:val="237067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67D1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</w:tc>
        <w:tc>
          <w:tcPr>
            <w:tcW w:w="2835" w:type="dxa"/>
          </w:tcPr>
          <w:p w:rsidR="004B67D1" w:rsidP="004B67D1" w:rsidRDefault="7A8C362C" w14:paraId="377E0C3B" w14:textId="0AB5A037">
            <w:r w:rsidRPr="4D76C2C4">
              <w:rPr>
                <w:rFonts w:eastAsiaTheme="minorEastAsia"/>
              </w:rPr>
              <w:t xml:space="preserve">Alcohol </w:t>
            </w:r>
            <w:sdt>
              <w:sdtPr>
                <w:id w:val="-102593912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50873">
                  <w:rPr>
                    <w:rFonts w:hint="eastAsia" w:ascii="MS Gothic" w:hAnsi="MS Gothic" w:eastAsia="MS Gothic"/>
                  </w:rPr>
                  <w:t>☒</w:t>
                </w:r>
              </w:sdtContent>
            </w:sdt>
          </w:p>
          <w:p w:rsidR="7A8C362C" w:rsidP="4D76C2C4" w:rsidRDefault="7A8C362C" w14:paraId="1AC78BA9" w14:textId="79A8100B">
            <w:pPr>
              <w:rPr>
                <w:rFonts w:eastAsiaTheme="minorEastAsia"/>
              </w:rPr>
            </w:pPr>
          </w:p>
        </w:tc>
        <w:tc>
          <w:tcPr>
            <w:tcW w:w="1994" w:type="dxa"/>
          </w:tcPr>
          <w:p w:rsidR="004B67D1" w:rsidP="004B67D1" w:rsidRDefault="7DF0C6BE" w14:paraId="78292EFA" w14:textId="1D548B9F">
            <w:r w:rsidRPr="4D76C2C4">
              <w:rPr>
                <w:rFonts w:eastAsiaTheme="minorEastAsia"/>
              </w:rPr>
              <w:t>Students</w:t>
            </w:r>
            <w:r w:rsidR="004B67D1">
              <w:rPr>
                <w:rFonts w:eastAsiaTheme="minorEastAsia"/>
              </w:rPr>
              <w:t xml:space="preserve"> </w:t>
            </w:r>
            <w:r w:rsidRPr="4D76C2C4">
              <w:rPr>
                <w:rFonts w:eastAsiaTheme="minorEastAsia"/>
              </w:rPr>
              <w:t xml:space="preserve"> </w:t>
            </w:r>
            <w:sdt>
              <w:sdtPr>
                <w:id w:val="129995339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50873">
                  <w:rPr>
                    <w:rFonts w:hint="eastAsia" w:ascii="MS Gothic" w:hAnsi="MS Gothic" w:eastAsia="MS Gothic"/>
                  </w:rPr>
                  <w:t>☒</w:t>
                </w:r>
              </w:sdtContent>
            </w:sdt>
          </w:p>
          <w:p w:rsidR="7DF0C6BE" w:rsidP="4D76C2C4" w:rsidRDefault="7DF0C6BE" w14:paraId="1813E63D" w14:textId="5EFC1F02">
            <w:pPr>
              <w:rPr>
                <w:rFonts w:eastAsiaTheme="minorEastAsia"/>
              </w:rPr>
            </w:pPr>
          </w:p>
        </w:tc>
      </w:tr>
      <w:tr w:rsidR="4D76C2C4" w:rsidTr="00DC7317" w14:paraId="6B5D066D" w14:textId="77777777">
        <w:trPr>
          <w:trHeight w:val="300"/>
        </w:trPr>
        <w:tc>
          <w:tcPr>
            <w:tcW w:w="2263" w:type="dxa"/>
          </w:tcPr>
          <w:p w:rsidR="004B67D1" w:rsidP="004B67D1" w:rsidRDefault="64C96453" w14:paraId="582FE32D" w14:textId="4FD2AC05">
            <w:r w:rsidRPr="4D76C2C4">
              <w:rPr>
                <w:rFonts w:eastAsiaTheme="minorEastAsia"/>
              </w:rPr>
              <w:t>Coordinate</w:t>
            </w:r>
            <w:r w:rsidR="004B67D1">
              <w:t xml:space="preserve"> </w:t>
            </w:r>
            <w:sdt>
              <w:sdtPr>
                <w:id w:val="1146097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67D1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  <w:p w:rsidR="64C96453" w:rsidP="4D76C2C4" w:rsidRDefault="64C96453" w14:paraId="50743FA5" w14:textId="402B1508">
            <w:pPr>
              <w:rPr>
                <w:rFonts w:eastAsiaTheme="minorEastAsia"/>
              </w:rPr>
            </w:pPr>
          </w:p>
        </w:tc>
        <w:tc>
          <w:tcPr>
            <w:tcW w:w="2268" w:type="dxa"/>
          </w:tcPr>
          <w:p w:rsidRPr="0087239C" w:rsidR="4D76C2C4" w:rsidP="4D76C2C4" w:rsidRDefault="1705E9F7" w14:paraId="4E65CB0C" w14:textId="4C53B530">
            <w:r w:rsidRPr="4D76C2C4">
              <w:rPr>
                <w:rFonts w:eastAsiaTheme="minorEastAsia"/>
              </w:rPr>
              <w:t xml:space="preserve">Campus Environment (Facilities </w:t>
            </w:r>
            <w:r w:rsidRPr="4D76C2C4" w:rsidR="03258958">
              <w:rPr>
                <w:rFonts w:eastAsiaTheme="minorEastAsia"/>
              </w:rPr>
              <w:t xml:space="preserve">&amp; </w:t>
            </w:r>
            <w:r w:rsidRPr="4D76C2C4">
              <w:rPr>
                <w:rFonts w:eastAsiaTheme="minorEastAsia"/>
              </w:rPr>
              <w:t>Services)</w:t>
            </w:r>
            <w:r w:rsidR="004B67D1">
              <w:rPr>
                <w:rFonts w:eastAsiaTheme="minorEastAsia"/>
              </w:rPr>
              <w:t xml:space="preserve"> </w:t>
            </w:r>
            <w:sdt>
              <w:sdtPr>
                <w:id w:val="-12320821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46CAC">
                  <w:rPr>
                    <w:rFonts w:hint="eastAsia" w:ascii="MS Gothic" w:hAnsi="MS Gothic" w:eastAsia="MS Gothic"/>
                  </w:rPr>
                  <w:t>☒</w:t>
                </w:r>
              </w:sdtContent>
            </w:sdt>
          </w:p>
        </w:tc>
        <w:tc>
          <w:tcPr>
            <w:tcW w:w="2835" w:type="dxa"/>
          </w:tcPr>
          <w:p w:rsidR="004B67D1" w:rsidP="004B67D1" w:rsidRDefault="6607A081" w14:paraId="1E1AC17B" w14:textId="77777777">
            <w:r w:rsidRPr="4D76C2C4">
              <w:rPr>
                <w:rFonts w:eastAsiaTheme="minorEastAsia"/>
              </w:rPr>
              <w:t>Substance Misuse</w:t>
            </w:r>
            <w:r w:rsidR="004B67D1">
              <w:rPr>
                <w:rFonts w:eastAsiaTheme="minorEastAsia"/>
              </w:rPr>
              <w:t xml:space="preserve"> </w:t>
            </w:r>
            <w:sdt>
              <w:sdtPr>
                <w:id w:val="1995751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67D1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  <w:p w:rsidR="6607A081" w:rsidP="4D76C2C4" w:rsidRDefault="6607A081" w14:paraId="4408EBB4" w14:textId="037D5019">
            <w:pPr>
              <w:rPr>
                <w:rFonts w:eastAsiaTheme="minorEastAsia"/>
              </w:rPr>
            </w:pPr>
          </w:p>
        </w:tc>
        <w:tc>
          <w:tcPr>
            <w:tcW w:w="1994" w:type="dxa"/>
          </w:tcPr>
          <w:p w:rsidR="004B67D1" w:rsidP="004B67D1" w:rsidRDefault="4682AFE8" w14:paraId="0EB6D3B3" w14:textId="77777777">
            <w:r w:rsidRPr="4D76C2C4">
              <w:rPr>
                <w:rFonts w:eastAsiaTheme="minorEastAsia"/>
              </w:rPr>
              <w:t>Staff</w:t>
            </w:r>
            <w:r w:rsidR="004B67D1">
              <w:rPr>
                <w:rFonts w:eastAsiaTheme="minorEastAsia"/>
              </w:rPr>
              <w:t xml:space="preserve"> </w:t>
            </w:r>
            <w:sdt>
              <w:sdtPr>
                <w:id w:val="-1504040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67D1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  <w:p w:rsidR="4682AFE8" w:rsidP="4D76C2C4" w:rsidRDefault="4682AFE8" w14:paraId="50F0D9B5" w14:textId="16E421D1">
            <w:pPr>
              <w:rPr>
                <w:rFonts w:eastAsiaTheme="minorEastAsia"/>
              </w:rPr>
            </w:pPr>
          </w:p>
        </w:tc>
      </w:tr>
      <w:tr w:rsidR="4D76C2C4" w:rsidTr="00DC7317" w14:paraId="5CA450B8" w14:textId="77777777">
        <w:trPr>
          <w:trHeight w:val="300"/>
        </w:trPr>
        <w:tc>
          <w:tcPr>
            <w:tcW w:w="2263" w:type="dxa"/>
          </w:tcPr>
          <w:p w:rsidRPr="0087239C" w:rsidR="64C96453" w:rsidP="4D76C2C4" w:rsidRDefault="64C96453" w14:paraId="0843B53A" w14:textId="45D5CC1D">
            <w:r w:rsidRPr="4D76C2C4">
              <w:rPr>
                <w:rFonts w:eastAsiaTheme="minorEastAsia"/>
              </w:rPr>
              <w:t>Consult</w:t>
            </w:r>
            <w:r w:rsidR="004B67D1">
              <w:rPr>
                <w:rFonts w:eastAsiaTheme="minorEastAsia"/>
              </w:rPr>
              <w:t xml:space="preserve"> </w:t>
            </w:r>
            <w:sdt>
              <w:sdtPr>
                <w:id w:val="955906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67D1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:rsidRPr="0087239C" w:rsidR="4D76C2C4" w:rsidP="4D76C2C4" w:rsidRDefault="4FB28722" w14:paraId="223752F5" w14:textId="6BBEDAC1">
            <w:r w:rsidRPr="4D76C2C4">
              <w:rPr>
                <w:rFonts w:eastAsiaTheme="minorEastAsia"/>
              </w:rPr>
              <w:t>Campus Culture &amp; Communications</w:t>
            </w:r>
            <w:r w:rsidR="004B67D1">
              <w:rPr>
                <w:rFonts w:eastAsiaTheme="minorEastAsia"/>
              </w:rPr>
              <w:t xml:space="preserve"> </w:t>
            </w:r>
            <w:sdt>
              <w:sdtPr>
                <w:id w:val="9295427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46CAC">
                  <w:rPr>
                    <w:rFonts w:hint="eastAsia" w:ascii="MS Gothic" w:hAnsi="MS Gothic" w:eastAsia="MS Gothic"/>
                  </w:rPr>
                  <w:t>☒</w:t>
                </w:r>
              </w:sdtContent>
            </w:sdt>
          </w:p>
        </w:tc>
        <w:tc>
          <w:tcPr>
            <w:tcW w:w="2835" w:type="dxa"/>
          </w:tcPr>
          <w:p w:rsidR="221D37BE" w:rsidP="4D76C2C4" w:rsidRDefault="221D37BE" w14:paraId="6B83053F" w14:textId="6E5BD3E8">
            <w:pPr>
              <w:rPr>
                <w:rFonts w:eastAsiaTheme="minorEastAsia"/>
              </w:rPr>
            </w:pPr>
            <w:r w:rsidRPr="4D76C2C4">
              <w:rPr>
                <w:rFonts w:eastAsiaTheme="minorEastAsia"/>
              </w:rPr>
              <w:t>Healthy Eating / Food</w:t>
            </w:r>
          </w:p>
          <w:p w:rsidRPr="0087239C" w:rsidR="4D76C2C4" w:rsidP="4D76C2C4" w:rsidRDefault="004B67D1" w14:paraId="12465871" w14:textId="431C86BE">
            <w:r>
              <w:rPr>
                <w:rFonts w:eastAsiaTheme="minorEastAsia"/>
              </w:rPr>
              <w:t xml:space="preserve">      </w:t>
            </w:r>
            <w:sdt>
              <w:sdtPr>
                <w:id w:val="-34239545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50873">
                  <w:rPr>
                    <w:rFonts w:hint="eastAsia" w:ascii="MS Gothic" w:hAnsi="MS Gothic" w:eastAsia="MS Gothic"/>
                  </w:rPr>
                  <w:t>☒</w:t>
                </w:r>
              </w:sdtContent>
            </w:sdt>
          </w:p>
        </w:tc>
        <w:tc>
          <w:tcPr>
            <w:tcW w:w="1994" w:type="dxa"/>
          </w:tcPr>
          <w:p w:rsidRPr="0087239C" w:rsidR="5D046058" w:rsidP="0087239C" w:rsidRDefault="5D046058" w14:paraId="1377AF46" w14:textId="1F52E4CC">
            <w:r w:rsidRPr="4D76C2C4">
              <w:rPr>
                <w:rFonts w:eastAsiaTheme="minorEastAsia"/>
              </w:rPr>
              <w:t xml:space="preserve">Wider community </w:t>
            </w:r>
            <w:r w:rsidR="004B67D1">
              <w:rPr>
                <w:rFonts w:eastAsiaTheme="minorEastAsia"/>
              </w:rPr>
              <w:t xml:space="preserve"> </w:t>
            </w:r>
            <w:sdt>
              <w:sdtPr>
                <w:id w:val="-614367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67D1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</w:tc>
      </w:tr>
      <w:tr w:rsidR="4D76C2C4" w:rsidTr="00DC7317" w14:paraId="2871D13F" w14:textId="77777777">
        <w:trPr>
          <w:trHeight w:val="300"/>
        </w:trPr>
        <w:tc>
          <w:tcPr>
            <w:tcW w:w="2263" w:type="dxa"/>
          </w:tcPr>
          <w:p w:rsidR="004B67D1" w:rsidP="004B67D1" w:rsidRDefault="64C96453" w14:paraId="2A8CE11C" w14:textId="48E315E2">
            <w:r w:rsidRPr="4D76C2C4">
              <w:rPr>
                <w:rFonts w:eastAsiaTheme="minorEastAsia"/>
              </w:rPr>
              <w:t>Create</w:t>
            </w:r>
            <w:r w:rsidR="004B67D1">
              <w:rPr>
                <w:rFonts w:eastAsiaTheme="minorEastAsia"/>
              </w:rPr>
              <w:t xml:space="preserve"> </w:t>
            </w:r>
            <w:sdt>
              <w:sdtPr>
                <w:id w:val="-32305532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46CAC">
                  <w:rPr>
                    <w:rFonts w:hint="eastAsia" w:ascii="MS Gothic" w:hAnsi="MS Gothic" w:eastAsia="MS Gothic"/>
                  </w:rPr>
                  <w:t>☒</w:t>
                </w:r>
              </w:sdtContent>
            </w:sdt>
          </w:p>
          <w:p w:rsidR="64C96453" w:rsidP="4D76C2C4" w:rsidRDefault="64C96453" w14:paraId="517F3FA0" w14:textId="79A4C663">
            <w:pPr>
              <w:rPr>
                <w:rFonts w:eastAsiaTheme="minorEastAsia"/>
              </w:rPr>
            </w:pPr>
          </w:p>
        </w:tc>
        <w:tc>
          <w:tcPr>
            <w:tcW w:w="2268" w:type="dxa"/>
          </w:tcPr>
          <w:p w:rsidR="37B3775E" w:rsidP="4D76C2C4" w:rsidRDefault="37B3775E" w14:paraId="1FA58C23" w14:textId="269BAB09">
            <w:pPr>
              <w:rPr>
                <w:rFonts w:eastAsiaTheme="minorEastAsia"/>
              </w:rPr>
            </w:pPr>
            <w:r w:rsidRPr="4D76C2C4">
              <w:rPr>
                <w:rFonts w:eastAsiaTheme="minorEastAsia"/>
              </w:rPr>
              <w:t>Personal &amp; Professional Development</w:t>
            </w:r>
          </w:p>
          <w:p w:rsidRPr="0087239C" w:rsidR="4D76C2C4" w:rsidP="4D76C2C4" w:rsidRDefault="004B67D1" w14:paraId="6B64DE53" w14:textId="4427B559">
            <w:r>
              <w:rPr>
                <w:rFonts w:eastAsiaTheme="minorEastAsia"/>
              </w:rPr>
              <w:t xml:space="preserve">                                 </w:t>
            </w:r>
            <w:sdt>
              <w:sdtPr>
                <w:id w:val="364410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</w:tc>
        <w:tc>
          <w:tcPr>
            <w:tcW w:w="2835" w:type="dxa"/>
          </w:tcPr>
          <w:p w:rsidR="68273CAA" w:rsidP="4D76C2C4" w:rsidRDefault="68273CAA" w14:paraId="40304054" w14:textId="5F8EA61E">
            <w:pPr>
              <w:rPr>
                <w:rFonts w:eastAsiaTheme="minorEastAsia"/>
              </w:rPr>
            </w:pPr>
            <w:r w:rsidRPr="4D76C2C4">
              <w:rPr>
                <w:rFonts w:eastAsiaTheme="minorEastAsia"/>
              </w:rPr>
              <w:t>Mental Health &amp; Wellbeing</w:t>
            </w:r>
          </w:p>
          <w:sdt>
            <w:sdtPr>
              <w:id w:val="1043178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4B67D1" w:rsidP="004B67D1" w:rsidRDefault="00450873" w14:paraId="2DF55A4F" w14:textId="68FEE541"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sdtContent>
          </w:sdt>
          <w:p w:rsidR="4D76C2C4" w:rsidP="4D76C2C4" w:rsidRDefault="4D76C2C4" w14:paraId="568879D9" w14:textId="72ADC8FE">
            <w:pPr>
              <w:rPr>
                <w:rFonts w:eastAsiaTheme="minorEastAsia"/>
              </w:rPr>
            </w:pPr>
          </w:p>
        </w:tc>
        <w:tc>
          <w:tcPr>
            <w:tcW w:w="1994" w:type="dxa"/>
          </w:tcPr>
          <w:p w:rsidR="004B67D1" w:rsidP="004B67D1" w:rsidRDefault="0325DB1F" w14:paraId="077B26D0" w14:textId="77777777">
            <w:r w:rsidRPr="4D76C2C4">
              <w:rPr>
                <w:rFonts w:eastAsiaTheme="minorEastAsia"/>
              </w:rPr>
              <w:t>Other</w:t>
            </w:r>
            <w:r w:rsidR="004B67D1">
              <w:rPr>
                <w:rFonts w:eastAsiaTheme="minorEastAsia"/>
              </w:rPr>
              <w:t xml:space="preserve"> </w:t>
            </w:r>
            <w:sdt>
              <w:sdtPr>
                <w:id w:val="-1072504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67D1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  <w:p w:rsidR="0325DB1F" w:rsidP="4D76C2C4" w:rsidRDefault="0325DB1F" w14:paraId="585486CB" w14:textId="1A8C9CB5">
            <w:pPr>
              <w:rPr>
                <w:rFonts w:eastAsiaTheme="minorEastAsia"/>
              </w:rPr>
            </w:pPr>
          </w:p>
        </w:tc>
      </w:tr>
      <w:tr w:rsidR="4D76C2C4" w:rsidTr="00DC7317" w14:paraId="6C85DB35" w14:textId="77777777">
        <w:trPr>
          <w:trHeight w:val="300"/>
        </w:trPr>
        <w:tc>
          <w:tcPr>
            <w:tcW w:w="2263" w:type="dxa"/>
          </w:tcPr>
          <w:p w:rsidRPr="0087239C" w:rsidR="64C96453" w:rsidP="4D76C2C4" w:rsidRDefault="64C96453" w14:paraId="4014549A" w14:textId="6E7091CF">
            <w:r w:rsidRPr="4D76C2C4">
              <w:rPr>
                <w:rFonts w:eastAsiaTheme="minorEastAsia"/>
              </w:rPr>
              <w:t xml:space="preserve">Celebrate </w:t>
            </w:r>
            <w:r w:rsidRPr="4D76C2C4" w:rsidR="40D0435F">
              <w:rPr>
                <w:rFonts w:eastAsiaTheme="minorEastAsia"/>
              </w:rPr>
              <w:t>&amp;</w:t>
            </w:r>
            <w:r w:rsidRPr="4D76C2C4">
              <w:rPr>
                <w:rFonts w:eastAsiaTheme="minorEastAsia"/>
              </w:rPr>
              <w:t xml:space="preserve"> </w:t>
            </w:r>
            <w:proofErr w:type="gramStart"/>
            <w:r w:rsidRPr="4D76C2C4">
              <w:rPr>
                <w:rFonts w:eastAsiaTheme="minorEastAsia"/>
              </w:rPr>
              <w:t>Continue</w:t>
            </w:r>
            <w:proofErr w:type="gramEnd"/>
            <w:r w:rsidR="004B67D1">
              <w:rPr>
                <w:rFonts w:eastAsiaTheme="minorEastAsia"/>
              </w:rPr>
              <w:t xml:space="preserve"> </w:t>
            </w:r>
            <w:r w:rsidRPr="4D76C2C4">
              <w:rPr>
                <w:rFonts w:eastAsiaTheme="minorEastAsia"/>
              </w:rPr>
              <w:t xml:space="preserve"> </w:t>
            </w:r>
            <w:sdt>
              <w:sdtPr>
                <w:id w:val="-1867205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67D1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:rsidR="4D76C2C4" w:rsidP="4D76C2C4" w:rsidRDefault="4D76C2C4" w14:paraId="4675B59D" w14:textId="37D356D7">
            <w:pPr>
              <w:rPr>
                <w:rFonts w:eastAsiaTheme="minorEastAsia"/>
              </w:rPr>
            </w:pPr>
          </w:p>
        </w:tc>
        <w:tc>
          <w:tcPr>
            <w:tcW w:w="2835" w:type="dxa"/>
          </w:tcPr>
          <w:p w:rsidR="76585C8F" w:rsidP="4D76C2C4" w:rsidRDefault="76585C8F" w14:paraId="23502A17" w14:textId="70F271B2">
            <w:pPr>
              <w:rPr>
                <w:rFonts w:eastAsiaTheme="minorEastAsia"/>
              </w:rPr>
            </w:pPr>
            <w:r w:rsidRPr="4D76C2C4">
              <w:rPr>
                <w:rFonts w:eastAsiaTheme="minorEastAsia"/>
              </w:rPr>
              <w:t>Sexual Health &amp; Wellbeing</w:t>
            </w:r>
          </w:p>
          <w:sdt>
            <w:sdtPr>
              <w:id w:val="-8669142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Pr="0087239C" w:rsidR="4D76C2C4" w:rsidP="4D76C2C4" w:rsidRDefault="004B67D1" w14:paraId="1004712B" w14:textId="49745096">
                <w:r w:rsidRPr="0087239C">
                  <w:rPr>
                    <w:rFonts w:hint="eastAsia" w:ascii="MS Gothic" w:hAnsi="MS Gothic"/>
                  </w:rPr>
                  <w:t>☐</w:t>
                </w:r>
              </w:p>
            </w:sdtContent>
          </w:sdt>
        </w:tc>
        <w:tc>
          <w:tcPr>
            <w:tcW w:w="1994" w:type="dxa"/>
          </w:tcPr>
          <w:p w:rsidR="4D76C2C4" w:rsidP="4D76C2C4" w:rsidRDefault="4D76C2C4" w14:paraId="048A2566" w14:textId="79D8C028"/>
        </w:tc>
      </w:tr>
      <w:tr w:rsidR="4D76C2C4" w:rsidTr="00DC7317" w14:paraId="67125046" w14:textId="77777777">
        <w:trPr>
          <w:trHeight w:val="300"/>
        </w:trPr>
        <w:tc>
          <w:tcPr>
            <w:tcW w:w="2263" w:type="dxa"/>
          </w:tcPr>
          <w:p w:rsidR="4D76C2C4" w:rsidP="4D76C2C4" w:rsidRDefault="4D76C2C4" w14:paraId="1B5390AC" w14:textId="774FE2C2">
            <w:pPr>
              <w:rPr>
                <w:rFonts w:eastAsiaTheme="minorEastAsia"/>
              </w:rPr>
            </w:pPr>
          </w:p>
        </w:tc>
        <w:tc>
          <w:tcPr>
            <w:tcW w:w="2268" w:type="dxa"/>
          </w:tcPr>
          <w:p w:rsidR="4D76C2C4" w:rsidP="4D76C2C4" w:rsidRDefault="4D76C2C4" w14:paraId="47783E8C" w14:textId="0E64975F">
            <w:pPr>
              <w:rPr>
                <w:rFonts w:eastAsiaTheme="minorEastAsia"/>
              </w:rPr>
            </w:pPr>
          </w:p>
        </w:tc>
        <w:tc>
          <w:tcPr>
            <w:tcW w:w="2835" w:type="dxa"/>
          </w:tcPr>
          <w:p w:rsidR="76585C8F" w:rsidP="4D76C2C4" w:rsidRDefault="76585C8F" w14:paraId="49726376" w14:textId="2B1BF35F">
            <w:pPr>
              <w:rPr>
                <w:rFonts w:eastAsiaTheme="minorEastAsia"/>
              </w:rPr>
            </w:pPr>
            <w:r w:rsidRPr="4D76C2C4">
              <w:rPr>
                <w:rFonts w:eastAsiaTheme="minorEastAsia"/>
              </w:rPr>
              <w:t>Tobacco Free Campus</w:t>
            </w:r>
          </w:p>
          <w:sdt>
            <w:sdtPr>
              <w:id w:val="9644652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Pr="0087239C" w:rsidR="4D76C2C4" w:rsidP="4D76C2C4" w:rsidRDefault="004B67D1" w14:paraId="6B125D75" w14:textId="19FDECFF">
                <w:r w:rsidRPr="0087239C">
                  <w:rPr>
                    <w:rFonts w:hint="eastAsia" w:ascii="MS Gothic" w:hAnsi="MS Gothic"/>
                  </w:rPr>
                  <w:t>☐</w:t>
                </w:r>
              </w:p>
            </w:sdtContent>
          </w:sdt>
        </w:tc>
        <w:tc>
          <w:tcPr>
            <w:tcW w:w="1994" w:type="dxa"/>
          </w:tcPr>
          <w:p w:rsidR="4D76C2C4" w:rsidP="4D76C2C4" w:rsidRDefault="4D76C2C4" w14:paraId="1B56B7FD" w14:textId="12FEC19C"/>
        </w:tc>
      </w:tr>
      <w:tr w:rsidR="4D76C2C4" w:rsidTr="00DC7317" w14:paraId="508DB718" w14:textId="77777777">
        <w:trPr>
          <w:trHeight w:val="300"/>
        </w:trPr>
        <w:tc>
          <w:tcPr>
            <w:tcW w:w="2263" w:type="dxa"/>
          </w:tcPr>
          <w:p w:rsidR="4D76C2C4" w:rsidP="4D76C2C4" w:rsidRDefault="4D76C2C4" w14:paraId="415939F4" w14:textId="13C3E105">
            <w:pPr>
              <w:rPr>
                <w:rFonts w:eastAsiaTheme="minorEastAsia"/>
              </w:rPr>
            </w:pPr>
          </w:p>
        </w:tc>
        <w:tc>
          <w:tcPr>
            <w:tcW w:w="2268" w:type="dxa"/>
          </w:tcPr>
          <w:p w:rsidR="4D76C2C4" w:rsidP="4D76C2C4" w:rsidRDefault="4D76C2C4" w14:paraId="4A0DE4F2" w14:textId="78E03727">
            <w:pPr>
              <w:rPr>
                <w:rFonts w:eastAsiaTheme="minorEastAsia"/>
              </w:rPr>
            </w:pPr>
          </w:p>
        </w:tc>
        <w:tc>
          <w:tcPr>
            <w:tcW w:w="2835" w:type="dxa"/>
          </w:tcPr>
          <w:p w:rsidR="76585C8F" w:rsidP="4D76C2C4" w:rsidRDefault="76585C8F" w14:paraId="50DC7DD4" w14:textId="777CE578">
            <w:pPr>
              <w:rPr>
                <w:rFonts w:eastAsiaTheme="minorEastAsia"/>
              </w:rPr>
            </w:pPr>
            <w:r w:rsidRPr="4D76C2C4">
              <w:rPr>
                <w:rFonts w:eastAsiaTheme="minorEastAsia"/>
              </w:rPr>
              <w:t>Physical Activity</w:t>
            </w:r>
            <w:r w:rsidRPr="4D76C2C4" w:rsidR="4CA12FC5">
              <w:rPr>
                <w:rFonts w:eastAsiaTheme="minorEastAsia"/>
              </w:rPr>
              <w:t xml:space="preserve"> / Active Transport</w:t>
            </w:r>
          </w:p>
          <w:sdt>
            <w:sdtPr>
              <w:id w:val="-15573050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Pr="0087239C" w:rsidR="4D76C2C4" w:rsidP="4D76C2C4" w:rsidRDefault="004B67D1" w14:paraId="6A65D662" w14:textId="50ADAABE">
                <w:r w:rsidRPr="0087239C">
                  <w:rPr>
                    <w:rFonts w:hint="eastAsia" w:ascii="MS Gothic" w:hAnsi="MS Gothic"/>
                  </w:rPr>
                  <w:t>☐</w:t>
                </w:r>
              </w:p>
            </w:sdtContent>
          </w:sdt>
        </w:tc>
        <w:tc>
          <w:tcPr>
            <w:tcW w:w="1994" w:type="dxa"/>
          </w:tcPr>
          <w:p w:rsidR="4D76C2C4" w:rsidP="4D76C2C4" w:rsidRDefault="4D76C2C4" w14:paraId="37EA46BB" w14:textId="597ED12B"/>
        </w:tc>
      </w:tr>
      <w:tr w:rsidR="4D76C2C4" w:rsidTr="00DC7317" w14:paraId="239C46B2" w14:textId="77777777">
        <w:trPr>
          <w:trHeight w:val="300"/>
        </w:trPr>
        <w:tc>
          <w:tcPr>
            <w:tcW w:w="2263" w:type="dxa"/>
          </w:tcPr>
          <w:p w:rsidR="4D76C2C4" w:rsidP="4D76C2C4" w:rsidRDefault="4D76C2C4" w14:paraId="354ECACA" w14:textId="0F6DAD34"/>
        </w:tc>
        <w:tc>
          <w:tcPr>
            <w:tcW w:w="2268" w:type="dxa"/>
          </w:tcPr>
          <w:p w:rsidR="4D76C2C4" w:rsidP="4D76C2C4" w:rsidRDefault="4D76C2C4" w14:paraId="304E7DAE" w14:textId="08272CA4"/>
        </w:tc>
        <w:tc>
          <w:tcPr>
            <w:tcW w:w="2835" w:type="dxa"/>
          </w:tcPr>
          <w:p w:rsidR="682D2212" w:rsidP="4D76C2C4" w:rsidRDefault="682D2212" w14:paraId="250F1932" w14:textId="4C45603F">
            <w:pPr>
              <w:rPr>
                <w:rFonts w:eastAsiaTheme="minorEastAsia"/>
                <w:sz w:val="20"/>
                <w:szCs w:val="20"/>
              </w:rPr>
            </w:pPr>
            <w:r w:rsidRPr="4D76C2C4">
              <w:rPr>
                <w:rFonts w:eastAsiaTheme="minorEastAsia"/>
              </w:rPr>
              <w:t xml:space="preserve">Wellbeing on the Curriculum </w:t>
            </w:r>
            <w:r w:rsidR="00642488">
              <w:rPr>
                <w:rFonts w:eastAsiaTheme="minorEastAsia"/>
              </w:rPr>
              <w:t>(</w:t>
            </w:r>
            <w:r w:rsidR="00642488">
              <w:rPr>
                <w:rFonts w:eastAsiaTheme="minorEastAsia"/>
                <w:sz w:val="20"/>
                <w:szCs w:val="20"/>
              </w:rPr>
              <w:t xml:space="preserve">can also </w:t>
            </w:r>
            <w:r w:rsidRPr="4D76C2C4" w:rsidR="00642488">
              <w:rPr>
                <w:rFonts w:eastAsiaTheme="minorEastAsia"/>
                <w:sz w:val="20"/>
                <w:szCs w:val="20"/>
              </w:rPr>
              <w:t>fall under ‘Personal &amp; Professional Development)</w:t>
            </w:r>
          </w:p>
          <w:sdt>
            <w:sdtPr>
              <w:id w:val="-16349464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Pr="0087239C" w:rsidR="004B67D1" w:rsidP="4D76C2C4" w:rsidRDefault="00C36B91" w14:paraId="59F04166" w14:textId="5C196709">
                <w:r w:rsidRPr="0087239C">
                  <w:rPr>
                    <w:rFonts w:hint="eastAsia" w:ascii="MS Gothic" w:hAnsi="MS Gothic"/>
                  </w:rPr>
                  <w:t>☐</w:t>
                </w:r>
              </w:p>
            </w:sdtContent>
          </w:sdt>
        </w:tc>
        <w:tc>
          <w:tcPr>
            <w:tcW w:w="1994" w:type="dxa"/>
          </w:tcPr>
          <w:p w:rsidR="4D76C2C4" w:rsidP="4D76C2C4" w:rsidRDefault="4D76C2C4" w14:paraId="446DEDFE" w14:textId="3DFF52F3"/>
        </w:tc>
      </w:tr>
      <w:tr w:rsidR="4D76C2C4" w:rsidTr="00DC7317" w14:paraId="14AA5248" w14:textId="77777777">
        <w:trPr>
          <w:trHeight w:val="300"/>
        </w:trPr>
        <w:tc>
          <w:tcPr>
            <w:tcW w:w="2263" w:type="dxa"/>
          </w:tcPr>
          <w:p w:rsidR="4D76C2C4" w:rsidP="4D76C2C4" w:rsidRDefault="4D76C2C4" w14:paraId="681D0E3E" w14:textId="2397A2BE"/>
        </w:tc>
        <w:tc>
          <w:tcPr>
            <w:tcW w:w="2268" w:type="dxa"/>
          </w:tcPr>
          <w:p w:rsidR="4D76C2C4" w:rsidP="4D76C2C4" w:rsidRDefault="4D76C2C4" w14:paraId="1666C6F0" w14:textId="1CA12492"/>
        </w:tc>
        <w:tc>
          <w:tcPr>
            <w:tcW w:w="2835" w:type="dxa"/>
          </w:tcPr>
          <w:p w:rsidR="65A42A95" w:rsidP="4D76C2C4" w:rsidRDefault="65A42A95" w14:paraId="5FF46212" w14:textId="77777777">
            <w:pPr>
              <w:rPr>
                <w:rFonts w:eastAsiaTheme="minorEastAsia"/>
              </w:rPr>
            </w:pPr>
            <w:r w:rsidRPr="4D76C2C4">
              <w:rPr>
                <w:rFonts w:eastAsiaTheme="minorEastAsia"/>
              </w:rPr>
              <w:t xml:space="preserve">Health &amp; Sustainability </w:t>
            </w:r>
          </w:p>
          <w:sdt>
            <w:sdtPr>
              <w:id w:val="-590781409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:rsidRPr="0087239C" w:rsidR="004B67D1" w:rsidP="4D76C2C4" w:rsidRDefault="00846CAC" w14:paraId="76C4B626" w14:textId="4A68439F">
                <w:r w:rsidRPr="0087239C">
                  <w:rPr>
                    <w:rFonts w:hint="eastAsia" w:ascii="MS Gothic" w:hAnsi="MS Gothic"/>
                  </w:rPr>
                  <w:t>☒</w:t>
                </w:r>
              </w:p>
            </w:sdtContent>
          </w:sdt>
        </w:tc>
        <w:tc>
          <w:tcPr>
            <w:tcW w:w="1994" w:type="dxa"/>
          </w:tcPr>
          <w:p w:rsidR="4D76C2C4" w:rsidP="4D76C2C4" w:rsidRDefault="4D76C2C4" w14:paraId="67F83151" w14:textId="2ACAC41B"/>
        </w:tc>
      </w:tr>
      <w:tr w:rsidR="4D76C2C4" w:rsidTr="00DC7317" w14:paraId="388BACA4" w14:textId="77777777">
        <w:trPr>
          <w:trHeight w:val="300"/>
        </w:trPr>
        <w:tc>
          <w:tcPr>
            <w:tcW w:w="2263" w:type="dxa"/>
          </w:tcPr>
          <w:p w:rsidR="4D76C2C4" w:rsidP="4D76C2C4" w:rsidRDefault="4D76C2C4" w14:paraId="09308283" w14:textId="399C5810"/>
        </w:tc>
        <w:tc>
          <w:tcPr>
            <w:tcW w:w="2268" w:type="dxa"/>
          </w:tcPr>
          <w:p w:rsidR="4D76C2C4" w:rsidP="4D76C2C4" w:rsidRDefault="4D76C2C4" w14:paraId="02DA3CD4" w14:textId="1780D190"/>
        </w:tc>
        <w:tc>
          <w:tcPr>
            <w:tcW w:w="2835" w:type="dxa"/>
          </w:tcPr>
          <w:p w:rsidR="3348400A" w:rsidP="4D76C2C4" w:rsidRDefault="3348400A" w14:paraId="4FD86E09" w14:textId="3AE07A02">
            <w:pPr>
              <w:rPr>
                <w:rFonts w:eastAsiaTheme="minorEastAsia"/>
              </w:rPr>
            </w:pPr>
            <w:r w:rsidRPr="4D76C2C4">
              <w:rPr>
                <w:rFonts w:eastAsiaTheme="minorEastAsia"/>
              </w:rPr>
              <w:t xml:space="preserve">Other </w:t>
            </w:r>
          </w:p>
          <w:sdt>
            <w:sdtPr>
              <w:id w:val="-12043976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Pr="0087239C" w:rsidR="4D76C2C4" w:rsidP="4D76C2C4" w:rsidRDefault="004B67D1" w14:paraId="27AAB38E" w14:textId="203885B2">
                <w:r w:rsidRPr="0087239C">
                  <w:rPr>
                    <w:rFonts w:hint="eastAsia" w:ascii="MS Gothic" w:hAnsi="MS Gothic"/>
                  </w:rPr>
                  <w:t>☐</w:t>
                </w:r>
              </w:p>
            </w:sdtContent>
          </w:sdt>
        </w:tc>
        <w:tc>
          <w:tcPr>
            <w:tcW w:w="1994" w:type="dxa"/>
          </w:tcPr>
          <w:p w:rsidR="4D76C2C4" w:rsidP="4D76C2C4" w:rsidRDefault="4D76C2C4" w14:paraId="31E5858B" w14:textId="6D56059E"/>
        </w:tc>
      </w:tr>
    </w:tbl>
    <w:p w:rsidR="4D76C2C4" w:rsidP="4D76C2C4" w:rsidRDefault="4D76C2C4" w14:paraId="33376E63" w14:textId="0E8ADB54">
      <w:pPr>
        <w:rPr>
          <w:rFonts w:eastAsiaTheme="minorEastAsia"/>
          <w:b/>
          <w:bCs/>
        </w:rPr>
      </w:pPr>
    </w:p>
    <w:p w:rsidR="58A24372" w:rsidP="4D76C2C4" w:rsidRDefault="58A24372" w14:paraId="2BE13540" w14:textId="32F2EB48">
      <w:pPr>
        <w:rPr>
          <w:rFonts w:eastAsiaTheme="minorEastAsia"/>
          <w:b/>
          <w:bCs/>
        </w:rPr>
      </w:pPr>
      <w:r w:rsidRPr="4D76C2C4">
        <w:rPr>
          <w:rFonts w:eastAsiaTheme="minorEastAsia"/>
          <w:b/>
          <w:bCs/>
        </w:rPr>
        <w:t>Contact Details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59"/>
        <w:gridCol w:w="7301"/>
      </w:tblGrid>
      <w:tr w:rsidR="4D76C2C4" w:rsidTr="4D76C2C4" w14:paraId="157B1DB6" w14:textId="77777777">
        <w:trPr>
          <w:trHeight w:val="300"/>
        </w:trPr>
        <w:tc>
          <w:tcPr>
            <w:tcW w:w="2059" w:type="dxa"/>
            <w:tcMar>
              <w:left w:w="105" w:type="dxa"/>
              <w:right w:w="105" w:type="dxa"/>
            </w:tcMar>
          </w:tcPr>
          <w:p w:rsidR="58A24372" w:rsidP="4D76C2C4" w:rsidRDefault="58A24372" w14:paraId="144C4BE8" w14:textId="7EC1199F">
            <w:pPr>
              <w:rPr>
                <w:rFonts w:eastAsiaTheme="minorEastAsia"/>
                <w:b/>
                <w:bCs/>
              </w:rPr>
            </w:pPr>
            <w:r w:rsidRPr="4D76C2C4">
              <w:rPr>
                <w:rFonts w:eastAsiaTheme="minorEastAsia"/>
                <w:b/>
                <w:bCs/>
              </w:rPr>
              <w:t>Contact Name</w:t>
            </w:r>
            <w:r w:rsidR="006A77B1">
              <w:rPr>
                <w:rFonts w:eastAsiaTheme="minorEastAsia"/>
                <w:b/>
                <w:bCs/>
              </w:rPr>
              <w:t>/s</w:t>
            </w:r>
          </w:p>
        </w:tc>
        <w:tc>
          <w:tcPr>
            <w:tcW w:w="7301" w:type="dxa"/>
            <w:tcMar>
              <w:left w:w="105" w:type="dxa"/>
              <w:right w:w="105" w:type="dxa"/>
            </w:tcMar>
          </w:tcPr>
          <w:p w:rsidR="4D76C2C4" w:rsidP="4D76C2C4" w:rsidRDefault="00846CAC" w14:paraId="79A68121" w14:textId="33382E4D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  <w:lang w:val="en-IE"/>
              </w:rPr>
            </w:pPr>
            <w:r>
              <w:rPr>
                <w:rFonts w:ascii="Calibri" w:hAnsi="Calibri" w:eastAsia="Calibri" w:cs="Calibri"/>
                <w:color w:val="000000" w:themeColor="text1"/>
                <w:lang w:val="en-IE"/>
              </w:rPr>
              <w:t xml:space="preserve">Karrie-Marie McCarthy </w:t>
            </w:r>
          </w:p>
          <w:p w:rsidR="006A77B1" w:rsidP="4D76C2C4" w:rsidRDefault="006A77B1" w14:paraId="26A459B8" w14:textId="43539C78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  <w:lang w:val="en-IE"/>
              </w:rPr>
            </w:pPr>
          </w:p>
        </w:tc>
      </w:tr>
      <w:tr w:rsidR="4D76C2C4" w:rsidTr="4D76C2C4" w14:paraId="18C413E6" w14:textId="77777777">
        <w:trPr>
          <w:trHeight w:val="300"/>
        </w:trPr>
        <w:tc>
          <w:tcPr>
            <w:tcW w:w="2059" w:type="dxa"/>
            <w:tcMar>
              <w:left w:w="105" w:type="dxa"/>
              <w:right w:w="105" w:type="dxa"/>
            </w:tcMar>
          </w:tcPr>
          <w:p w:rsidR="2DDBD4D0" w:rsidP="4D76C2C4" w:rsidRDefault="2DDBD4D0" w14:paraId="1785EAB2" w14:textId="674DD7F0">
            <w:pPr>
              <w:rPr>
                <w:rFonts w:eastAsiaTheme="minorEastAsia"/>
                <w:b/>
                <w:bCs/>
              </w:rPr>
            </w:pPr>
            <w:r w:rsidRPr="4D76C2C4">
              <w:rPr>
                <w:rFonts w:eastAsiaTheme="minorEastAsia"/>
                <w:b/>
                <w:bCs/>
              </w:rPr>
              <w:t>Date</w:t>
            </w:r>
          </w:p>
        </w:tc>
        <w:tc>
          <w:tcPr>
            <w:tcW w:w="7301" w:type="dxa"/>
            <w:tcMar>
              <w:left w:w="105" w:type="dxa"/>
              <w:right w:w="105" w:type="dxa"/>
            </w:tcMar>
          </w:tcPr>
          <w:p w:rsidR="4D76C2C4" w:rsidP="4D76C2C4" w:rsidRDefault="00BB1235" w14:paraId="4AD6789D" w14:textId="2B12B8F9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  <w:lang w:val="en-IE"/>
              </w:rPr>
            </w:pPr>
            <w:r>
              <w:rPr>
                <w:rFonts w:ascii="Calibri" w:hAnsi="Calibri" w:eastAsia="Calibri" w:cs="Calibri"/>
                <w:color w:val="000000" w:themeColor="text1"/>
                <w:lang w:val="en-IE"/>
              </w:rPr>
              <w:t>24/05/2024</w:t>
            </w:r>
          </w:p>
          <w:p w:rsidR="006A77B1" w:rsidP="4D76C2C4" w:rsidRDefault="006A77B1" w14:paraId="4A1B23DA" w14:textId="03B4D184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  <w:lang w:val="en-IE"/>
              </w:rPr>
            </w:pPr>
          </w:p>
        </w:tc>
      </w:tr>
      <w:tr w:rsidR="4D76C2C4" w:rsidTr="4D76C2C4" w14:paraId="5CE43459" w14:textId="77777777">
        <w:trPr>
          <w:trHeight w:val="300"/>
        </w:trPr>
        <w:tc>
          <w:tcPr>
            <w:tcW w:w="2059" w:type="dxa"/>
            <w:tcMar>
              <w:left w:w="105" w:type="dxa"/>
              <w:right w:w="105" w:type="dxa"/>
            </w:tcMar>
          </w:tcPr>
          <w:p w:rsidR="58A24372" w:rsidP="4D76C2C4" w:rsidRDefault="58A24372" w14:paraId="29D98A35" w14:textId="77777777">
            <w:pPr>
              <w:rPr>
                <w:rFonts w:eastAsiaTheme="minorEastAsia"/>
                <w:b/>
                <w:bCs/>
              </w:rPr>
            </w:pPr>
            <w:r w:rsidRPr="4D76C2C4">
              <w:rPr>
                <w:rFonts w:eastAsiaTheme="minorEastAsia"/>
                <w:b/>
                <w:bCs/>
              </w:rPr>
              <w:t>Email Address</w:t>
            </w:r>
          </w:p>
          <w:p w:rsidR="006A77B1" w:rsidP="4D76C2C4" w:rsidRDefault="006A77B1" w14:paraId="24960703" w14:textId="5100E18C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7301" w:type="dxa"/>
            <w:tcMar>
              <w:left w:w="105" w:type="dxa"/>
              <w:right w:w="105" w:type="dxa"/>
            </w:tcMar>
          </w:tcPr>
          <w:p w:rsidR="4D76C2C4" w:rsidP="4D76C2C4" w:rsidRDefault="00000000" w14:paraId="4750C8F4" w14:textId="7E16BB3C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  <w:lang w:val="en-IE"/>
              </w:rPr>
            </w:pPr>
            <w:hyperlink w:history="1" r:id="rId11">
              <w:r w:rsidRPr="00DE29ED" w:rsidR="00BB1235">
                <w:rPr>
                  <w:rStyle w:val="Hyperlink"/>
                  <w:rFonts w:ascii="Calibri" w:hAnsi="Calibri" w:eastAsia="Calibri" w:cs="Calibri"/>
                  <w:lang w:val="en-IE"/>
                </w:rPr>
                <w:t>k.mccarthy1@mycit.ie</w:t>
              </w:r>
            </w:hyperlink>
            <w:r w:rsidR="00BB1235">
              <w:rPr>
                <w:rFonts w:ascii="Calibri" w:hAnsi="Calibri" w:eastAsia="Calibri" w:cs="Calibri"/>
                <w:color w:val="000000" w:themeColor="text1"/>
                <w:lang w:val="en-IE"/>
              </w:rPr>
              <w:t xml:space="preserve"> </w:t>
            </w:r>
          </w:p>
        </w:tc>
      </w:tr>
      <w:tr w:rsidR="4D76C2C4" w:rsidTr="4D76C2C4" w14:paraId="3921D51E" w14:textId="77777777">
        <w:trPr>
          <w:trHeight w:val="300"/>
        </w:trPr>
        <w:tc>
          <w:tcPr>
            <w:tcW w:w="2059" w:type="dxa"/>
            <w:tcMar>
              <w:left w:w="105" w:type="dxa"/>
              <w:right w:w="105" w:type="dxa"/>
            </w:tcMar>
          </w:tcPr>
          <w:p w:rsidR="58A24372" w:rsidP="4D76C2C4" w:rsidRDefault="58A24372" w14:paraId="4D87E04E" w14:textId="7ED29C23">
            <w:pPr>
              <w:rPr>
                <w:rFonts w:eastAsiaTheme="minorEastAsia"/>
                <w:b/>
                <w:bCs/>
              </w:rPr>
            </w:pPr>
            <w:r w:rsidRPr="4D76C2C4">
              <w:rPr>
                <w:rFonts w:eastAsiaTheme="minorEastAsia"/>
                <w:b/>
                <w:bCs/>
              </w:rPr>
              <w:t>Links</w:t>
            </w:r>
          </w:p>
        </w:tc>
        <w:tc>
          <w:tcPr>
            <w:tcW w:w="7301" w:type="dxa"/>
            <w:tcMar>
              <w:left w:w="105" w:type="dxa"/>
              <w:right w:w="105" w:type="dxa"/>
            </w:tcMar>
          </w:tcPr>
          <w:p w:rsidR="006A77B1" w:rsidP="00B91D60" w:rsidRDefault="006A77B1" w14:paraId="0CDF91C8" w14:textId="1997DEA2">
            <w:pPr>
              <w:rPr>
                <w:rFonts w:ascii="Calibri" w:hAnsi="Calibri" w:eastAsia="Calibri" w:cs="Calibri"/>
                <w:color w:val="000000" w:themeColor="text1"/>
                <w:lang w:val="en-IE"/>
              </w:rPr>
            </w:pPr>
          </w:p>
        </w:tc>
      </w:tr>
    </w:tbl>
    <w:p w:rsidR="3B6AE0E1" w:rsidP="4D76C2C4" w:rsidRDefault="5B173A62" w14:paraId="2C76D734" w14:textId="4377CC61">
      <w:pPr>
        <w:rPr>
          <w:rFonts w:ascii="Times New Roman" w:hAnsi="Times New Roman" w:eastAsia="Times New Roman" w:cs="Times New Roman"/>
          <w:color w:val="000000" w:themeColor="text1"/>
        </w:rPr>
      </w:pPr>
      <w:r w:rsidRPr="4D76C2C4">
        <w:rPr>
          <w:rFonts w:eastAsiaTheme="minorEastAsia"/>
          <w:color w:val="000000" w:themeColor="text1"/>
        </w:rPr>
        <w:t xml:space="preserve"> </w:t>
      </w:r>
    </w:p>
    <w:p w:rsidR="4D76C2C4" w:rsidP="4D76C2C4" w:rsidRDefault="4D76C2C4" w14:paraId="674478AC" w14:textId="4E49E8E5"/>
    <w:p w:rsidR="79FA0A4A" w:rsidRDefault="79FA0A4A" w14:paraId="32EEAB56" w14:textId="74548A1F">
      <w:r>
        <w:br/>
      </w:r>
    </w:p>
    <w:p w:rsidR="4D76C2C4" w:rsidP="4D76C2C4" w:rsidRDefault="4D76C2C4" w14:paraId="0688913F" w14:textId="49070660"/>
    <w:sectPr w:rsidR="4D76C2C4">
      <w:footerReference w:type="default" r:id="rId12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049F6" w:rsidP="00801E77" w:rsidRDefault="005049F6" w14:paraId="29A328FF" w14:textId="77777777">
      <w:pPr>
        <w:spacing w:after="0" w:line="240" w:lineRule="auto"/>
      </w:pPr>
      <w:r>
        <w:separator/>
      </w:r>
    </w:p>
  </w:endnote>
  <w:endnote w:type="continuationSeparator" w:id="0">
    <w:p w:rsidR="005049F6" w:rsidP="00801E77" w:rsidRDefault="005049F6" w14:paraId="09A3AC1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801E77" w:rsidRDefault="00801E77" w14:paraId="284F48FB" w14:textId="5DFE5AC9">
    <w:pPr>
      <w:pStyle w:val="Footer"/>
    </w:pPr>
    <w:r>
      <w:t xml:space="preserve">                                                                                             </w:t>
    </w:r>
    <w:r>
      <w:rPr>
        <w:noProof/>
      </w:rPr>
      <w:drawing>
        <wp:inline distT="0" distB="0" distL="0" distR="0" wp14:anchorId="4D2040BC" wp14:editId="6E0C017C">
          <wp:extent cx="1790700" cy="494738"/>
          <wp:effectExtent l="0" t="0" r="0" b="635"/>
          <wp:docPr id="2" name="Picture 2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9177" cy="5053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A63AF2C" wp14:editId="3D43FFE1">
          <wp:extent cx="1190625" cy="595694"/>
          <wp:effectExtent l="0" t="0" r="0" b="0"/>
          <wp:docPr id="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0710" cy="600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049F6" w:rsidP="00801E77" w:rsidRDefault="005049F6" w14:paraId="31881EAF" w14:textId="77777777">
      <w:pPr>
        <w:spacing w:after="0" w:line="240" w:lineRule="auto"/>
      </w:pPr>
      <w:r>
        <w:separator/>
      </w:r>
    </w:p>
  </w:footnote>
  <w:footnote w:type="continuationSeparator" w:id="0">
    <w:p w:rsidR="005049F6" w:rsidP="00801E77" w:rsidRDefault="005049F6" w14:paraId="0665E8DE" w14:textId="77777777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l9mrmeIq" int2:invalidationBookmarkName="" int2:hashCode="jLM7J1TlP+yk91" int2:id="14F4Wzzm">
      <int2:state int2:type="AugLoop_Text_Critique" int2:value="Rejected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685428"/>
    <w:multiLevelType w:val="hybridMultilevel"/>
    <w:tmpl w:val="6F26A8D8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DC3099E"/>
    <w:multiLevelType w:val="hybridMultilevel"/>
    <w:tmpl w:val="56045E52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5E24282"/>
    <w:multiLevelType w:val="hybridMultilevel"/>
    <w:tmpl w:val="6854EFD0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875414B"/>
    <w:multiLevelType w:val="hybridMultilevel"/>
    <w:tmpl w:val="2A5C7830"/>
    <w:lvl w:ilvl="0" w:tplc="63FC25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4CACBB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51EC46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FAA07F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3A042F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4EBE6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3E1893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F23C9A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B2EA28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4" w15:restartNumberingAfterBreak="0">
    <w:nsid w:val="616C2A3A"/>
    <w:multiLevelType w:val="hybridMultilevel"/>
    <w:tmpl w:val="51F6B15E"/>
    <w:lvl w:ilvl="0" w:tplc="18E8C95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99A844B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EEC6A3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4B8F9F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B52E9A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D30411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1D8136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0D2B3C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F8031F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376247983">
    <w:abstractNumId w:val="4"/>
  </w:num>
  <w:num w:numId="2" w16cid:durableId="58217178">
    <w:abstractNumId w:val="2"/>
  </w:num>
  <w:num w:numId="3" w16cid:durableId="1316955688">
    <w:abstractNumId w:val="0"/>
  </w:num>
  <w:num w:numId="4" w16cid:durableId="455681973">
    <w:abstractNumId w:val="3"/>
  </w:num>
  <w:num w:numId="5" w16cid:durableId="10478708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7E9B826"/>
    <w:rsid w:val="00037DF9"/>
    <w:rsid w:val="00052C9D"/>
    <w:rsid w:val="00094DCC"/>
    <w:rsid w:val="0009785E"/>
    <w:rsid w:val="000C53EC"/>
    <w:rsid w:val="000D4E7D"/>
    <w:rsid w:val="000E0A14"/>
    <w:rsid w:val="0011151F"/>
    <w:rsid w:val="00116A0E"/>
    <w:rsid w:val="00117183"/>
    <w:rsid w:val="00125CD6"/>
    <w:rsid w:val="00135AE5"/>
    <w:rsid w:val="00144346"/>
    <w:rsid w:val="00147059"/>
    <w:rsid w:val="00171AB4"/>
    <w:rsid w:val="00174767"/>
    <w:rsid w:val="001973CE"/>
    <w:rsid w:val="0019761B"/>
    <w:rsid w:val="001B632C"/>
    <w:rsid w:val="001C2333"/>
    <w:rsid w:val="001C356C"/>
    <w:rsid w:val="001C688A"/>
    <w:rsid w:val="001D1926"/>
    <w:rsid w:val="001F0271"/>
    <w:rsid w:val="002302C7"/>
    <w:rsid w:val="00237ADD"/>
    <w:rsid w:val="002458D2"/>
    <w:rsid w:val="002572D9"/>
    <w:rsid w:val="002720C8"/>
    <w:rsid w:val="00293AF9"/>
    <w:rsid w:val="002B3129"/>
    <w:rsid w:val="002C2166"/>
    <w:rsid w:val="002C2A18"/>
    <w:rsid w:val="00305B8A"/>
    <w:rsid w:val="003152D8"/>
    <w:rsid w:val="00336C6F"/>
    <w:rsid w:val="00351C7E"/>
    <w:rsid w:val="003561C1"/>
    <w:rsid w:val="00367728"/>
    <w:rsid w:val="00375AFB"/>
    <w:rsid w:val="00381475"/>
    <w:rsid w:val="003B4DE4"/>
    <w:rsid w:val="003C71C1"/>
    <w:rsid w:val="003C7DEA"/>
    <w:rsid w:val="0040752E"/>
    <w:rsid w:val="004138A0"/>
    <w:rsid w:val="004249CC"/>
    <w:rsid w:val="0043457B"/>
    <w:rsid w:val="00450873"/>
    <w:rsid w:val="004734FB"/>
    <w:rsid w:val="00486EB0"/>
    <w:rsid w:val="00495AA6"/>
    <w:rsid w:val="004973B1"/>
    <w:rsid w:val="004A0DF6"/>
    <w:rsid w:val="004B67D1"/>
    <w:rsid w:val="004E1513"/>
    <w:rsid w:val="00501650"/>
    <w:rsid w:val="00503554"/>
    <w:rsid w:val="005049F6"/>
    <w:rsid w:val="005163E2"/>
    <w:rsid w:val="00531A9F"/>
    <w:rsid w:val="0054371E"/>
    <w:rsid w:val="0055055F"/>
    <w:rsid w:val="00554EB3"/>
    <w:rsid w:val="00583201"/>
    <w:rsid w:val="00587E92"/>
    <w:rsid w:val="00590087"/>
    <w:rsid w:val="00593F62"/>
    <w:rsid w:val="005B51C2"/>
    <w:rsid w:val="005C6365"/>
    <w:rsid w:val="005D21A7"/>
    <w:rsid w:val="005D50DF"/>
    <w:rsid w:val="005E31A7"/>
    <w:rsid w:val="005E4CD2"/>
    <w:rsid w:val="005F328B"/>
    <w:rsid w:val="00630B93"/>
    <w:rsid w:val="006313DE"/>
    <w:rsid w:val="00642159"/>
    <w:rsid w:val="00642488"/>
    <w:rsid w:val="0066071F"/>
    <w:rsid w:val="006656AE"/>
    <w:rsid w:val="006A77B1"/>
    <w:rsid w:val="006F0B9D"/>
    <w:rsid w:val="007219EF"/>
    <w:rsid w:val="007250F6"/>
    <w:rsid w:val="00726C94"/>
    <w:rsid w:val="007510B9"/>
    <w:rsid w:val="00751353"/>
    <w:rsid w:val="00777117"/>
    <w:rsid w:val="00783D6F"/>
    <w:rsid w:val="00790AA3"/>
    <w:rsid w:val="00793437"/>
    <w:rsid w:val="0079733A"/>
    <w:rsid w:val="007B6D1C"/>
    <w:rsid w:val="007C547D"/>
    <w:rsid w:val="007C5B64"/>
    <w:rsid w:val="007C6171"/>
    <w:rsid w:val="00801E77"/>
    <w:rsid w:val="00814D7F"/>
    <w:rsid w:val="00820CEC"/>
    <w:rsid w:val="00827C91"/>
    <w:rsid w:val="00846CAC"/>
    <w:rsid w:val="00866D9E"/>
    <w:rsid w:val="0087239C"/>
    <w:rsid w:val="008773E3"/>
    <w:rsid w:val="00882BD0"/>
    <w:rsid w:val="008A7C28"/>
    <w:rsid w:val="008B1F27"/>
    <w:rsid w:val="008B3462"/>
    <w:rsid w:val="008B612D"/>
    <w:rsid w:val="008D0539"/>
    <w:rsid w:val="008D2F80"/>
    <w:rsid w:val="008D7D1D"/>
    <w:rsid w:val="008E6AD3"/>
    <w:rsid w:val="009007A2"/>
    <w:rsid w:val="00917993"/>
    <w:rsid w:val="00933B2A"/>
    <w:rsid w:val="00934830"/>
    <w:rsid w:val="009378FF"/>
    <w:rsid w:val="00971C52"/>
    <w:rsid w:val="0097329C"/>
    <w:rsid w:val="009807E6"/>
    <w:rsid w:val="00992623"/>
    <w:rsid w:val="009B0833"/>
    <w:rsid w:val="009C0387"/>
    <w:rsid w:val="009D51B5"/>
    <w:rsid w:val="009E1C2E"/>
    <w:rsid w:val="00A07C23"/>
    <w:rsid w:val="00A11CD7"/>
    <w:rsid w:val="00A33E0A"/>
    <w:rsid w:val="00A74083"/>
    <w:rsid w:val="00AA2A5B"/>
    <w:rsid w:val="00AF09C2"/>
    <w:rsid w:val="00AF178C"/>
    <w:rsid w:val="00B05A4F"/>
    <w:rsid w:val="00B401FB"/>
    <w:rsid w:val="00B518D8"/>
    <w:rsid w:val="00B91BE9"/>
    <w:rsid w:val="00B91D60"/>
    <w:rsid w:val="00BA7F6F"/>
    <w:rsid w:val="00BB1235"/>
    <w:rsid w:val="00BC139C"/>
    <w:rsid w:val="00BE49B1"/>
    <w:rsid w:val="00BF5361"/>
    <w:rsid w:val="00C31B8D"/>
    <w:rsid w:val="00C36B91"/>
    <w:rsid w:val="00C56C78"/>
    <w:rsid w:val="00C60149"/>
    <w:rsid w:val="00C61FD1"/>
    <w:rsid w:val="00CC5F52"/>
    <w:rsid w:val="00D03260"/>
    <w:rsid w:val="00D145B1"/>
    <w:rsid w:val="00D3166F"/>
    <w:rsid w:val="00D46C5E"/>
    <w:rsid w:val="00D50C76"/>
    <w:rsid w:val="00D564B6"/>
    <w:rsid w:val="00D57B6D"/>
    <w:rsid w:val="00D67A21"/>
    <w:rsid w:val="00D67DE5"/>
    <w:rsid w:val="00D72B14"/>
    <w:rsid w:val="00DA13A9"/>
    <w:rsid w:val="00DA1D16"/>
    <w:rsid w:val="00DB0509"/>
    <w:rsid w:val="00DB46C9"/>
    <w:rsid w:val="00DB61FB"/>
    <w:rsid w:val="00DC09DB"/>
    <w:rsid w:val="00DC7317"/>
    <w:rsid w:val="00DF606D"/>
    <w:rsid w:val="00E10C79"/>
    <w:rsid w:val="00E132A4"/>
    <w:rsid w:val="00E2480F"/>
    <w:rsid w:val="00E754B8"/>
    <w:rsid w:val="00E86716"/>
    <w:rsid w:val="00EA11F5"/>
    <w:rsid w:val="00EA5A46"/>
    <w:rsid w:val="00EB70A8"/>
    <w:rsid w:val="00ED283B"/>
    <w:rsid w:val="00F22455"/>
    <w:rsid w:val="00F319EA"/>
    <w:rsid w:val="00F36C18"/>
    <w:rsid w:val="00F37BF7"/>
    <w:rsid w:val="00F433AE"/>
    <w:rsid w:val="00F8687C"/>
    <w:rsid w:val="00F87233"/>
    <w:rsid w:val="00F90CE9"/>
    <w:rsid w:val="00F912E7"/>
    <w:rsid w:val="00F943D4"/>
    <w:rsid w:val="00FA01E5"/>
    <w:rsid w:val="00FC0B02"/>
    <w:rsid w:val="00FC0CA7"/>
    <w:rsid w:val="00FC64C1"/>
    <w:rsid w:val="00FC7143"/>
    <w:rsid w:val="00FD3883"/>
    <w:rsid w:val="00FD6B4C"/>
    <w:rsid w:val="00FF71BA"/>
    <w:rsid w:val="012C5658"/>
    <w:rsid w:val="013667E4"/>
    <w:rsid w:val="0209CAEF"/>
    <w:rsid w:val="02B7D75B"/>
    <w:rsid w:val="0324224D"/>
    <w:rsid w:val="03258958"/>
    <w:rsid w:val="0325DB1F"/>
    <w:rsid w:val="039B8260"/>
    <w:rsid w:val="05DD7A90"/>
    <w:rsid w:val="05E42EC0"/>
    <w:rsid w:val="0609D907"/>
    <w:rsid w:val="0611C68D"/>
    <w:rsid w:val="07AD96EE"/>
    <w:rsid w:val="080348E3"/>
    <w:rsid w:val="088043FE"/>
    <w:rsid w:val="092B576A"/>
    <w:rsid w:val="095F1382"/>
    <w:rsid w:val="0ADD4A2A"/>
    <w:rsid w:val="0BFDBB8F"/>
    <w:rsid w:val="0C08470A"/>
    <w:rsid w:val="0D405C4A"/>
    <w:rsid w:val="0D41B60F"/>
    <w:rsid w:val="0D95DFB5"/>
    <w:rsid w:val="0E1CD872"/>
    <w:rsid w:val="0E59620A"/>
    <w:rsid w:val="0F40D9B9"/>
    <w:rsid w:val="0F8C749F"/>
    <w:rsid w:val="0FB8A8D3"/>
    <w:rsid w:val="11496480"/>
    <w:rsid w:val="11547934"/>
    <w:rsid w:val="11C28BD0"/>
    <w:rsid w:val="1213CD6D"/>
    <w:rsid w:val="125253C1"/>
    <w:rsid w:val="13456AB4"/>
    <w:rsid w:val="150B097B"/>
    <w:rsid w:val="15BCF6F8"/>
    <w:rsid w:val="1705E9F7"/>
    <w:rsid w:val="17C469D7"/>
    <w:rsid w:val="1A04C6D0"/>
    <w:rsid w:val="1B719FDF"/>
    <w:rsid w:val="1BCE088A"/>
    <w:rsid w:val="1D5FC75F"/>
    <w:rsid w:val="1D687E33"/>
    <w:rsid w:val="1DD1AA93"/>
    <w:rsid w:val="1E8ED4C4"/>
    <w:rsid w:val="1EFA9BA1"/>
    <w:rsid w:val="219912ED"/>
    <w:rsid w:val="221D37BE"/>
    <w:rsid w:val="23C2F810"/>
    <w:rsid w:val="243AD028"/>
    <w:rsid w:val="258C84A9"/>
    <w:rsid w:val="263E0E21"/>
    <w:rsid w:val="26DDE489"/>
    <w:rsid w:val="271E39B2"/>
    <w:rsid w:val="27D6B754"/>
    <w:rsid w:val="28A12041"/>
    <w:rsid w:val="28AC8B92"/>
    <w:rsid w:val="2AFB88AD"/>
    <w:rsid w:val="2B3C1EE6"/>
    <w:rsid w:val="2CD89E66"/>
    <w:rsid w:val="2DDBD4D0"/>
    <w:rsid w:val="2DE4B1E1"/>
    <w:rsid w:val="2E473E74"/>
    <w:rsid w:val="2FE0867F"/>
    <w:rsid w:val="32F36785"/>
    <w:rsid w:val="3348400A"/>
    <w:rsid w:val="33740D1D"/>
    <w:rsid w:val="343C3354"/>
    <w:rsid w:val="356FC237"/>
    <w:rsid w:val="3592FC20"/>
    <w:rsid w:val="37B3775E"/>
    <w:rsid w:val="3828206F"/>
    <w:rsid w:val="3882E6AF"/>
    <w:rsid w:val="3897782F"/>
    <w:rsid w:val="38B17485"/>
    <w:rsid w:val="3A504AE4"/>
    <w:rsid w:val="3A69ACFB"/>
    <w:rsid w:val="3B3802F0"/>
    <w:rsid w:val="3B6AE0E1"/>
    <w:rsid w:val="3BDF03BB"/>
    <w:rsid w:val="3C9DEAA5"/>
    <w:rsid w:val="3CC97F63"/>
    <w:rsid w:val="3CDCD83A"/>
    <w:rsid w:val="3DAB8C86"/>
    <w:rsid w:val="3F1597B8"/>
    <w:rsid w:val="3F16A47D"/>
    <w:rsid w:val="40D0435F"/>
    <w:rsid w:val="424DE75F"/>
    <w:rsid w:val="4265D54C"/>
    <w:rsid w:val="42AE23EA"/>
    <w:rsid w:val="43EA15A0"/>
    <w:rsid w:val="4494DF87"/>
    <w:rsid w:val="44D49148"/>
    <w:rsid w:val="450A1850"/>
    <w:rsid w:val="46768E79"/>
    <w:rsid w:val="4682AFE8"/>
    <w:rsid w:val="47E9B826"/>
    <w:rsid w:val="4838B33E"/>
    <w:rsid w:val="4A8982D8"/>
    <w:rsid w:val="4AA7DFCE"/>
    <w:rsid w:val="4BD9F2C8"/>
    <w:rsid w:val="4CA12FC5"/>
    <w:rsid w:val="4D76C2C4"/>
    <w:rsid w:val="4D97E244"/>
    <w:rsid w:val="4DEA9544"/>
    <w:rsid w:val="4FB28722"/>
    <w:rsid w:val="500762DD"/>
    <w:rsid w:val="520AE445"/>
    <w:rsid w:val="5235D015"/>
    <w:rsid w:val="52C8C456"/>
    <w:rsid w:val="53FC4483"/>
    <w:rsid w:val="5498516F"/>
    <w:rsid w:val="54FE0DE9"/>
    <w:rsid w:val="56B27A20"/>
    <w:rsid w:val="56DE5568"/>
    <w:rsid w:val="57612009"/>
    <w:rsid w:val="58A24372"/>
    <w:rsid w:val="59DEA8C5"/>
    <w:rsid w:val="59E44BF3"/>
    <w:rsid w:val="59E82668"/>
    <w:rsid w:val="5B173A62"/>
    <w:rsid w:val="5B5C1496"/>
    <w:rsid w:val="5D046058"/>
    <w:rsid w:val="5E7918FC"/>
    <w:rsid w:val="5E978BA5"/>
    <w:rsid w:val="6068CED2"/>
    <w:rsid w:val="612D6046"/>
    <w:rsid w:val="6196DE34"/>
    <w:rsid w:val="63642A8C"/>
    <w:rsid w:val="6498037D"/>
    <w:rsid w:val="64C96453"/>
    <w:rsid w:val="65A42A95"/>
    <w:rsid w:val="6607A081"/>
    <w:rsid w:val="677F8EFF"/>
    <w:rsid w:val="68273CAA"/>
    <w:rsid w:val="682D2212"/>
    <w:rsid w:val="682E8AFD"/>
    <w:rsid w:val="6859D84D"/>
    <w:rsid w:val="6943DD51"/>
    <w:rsid w:val="6BB33DD8"/>
    <w:rsid w:val="6C4D01F5"/>
    <w:rsid w:val="6E943B6F"/>
    <w:rsid w:val="6F717887"/>
    <w:rsid w:val="7141CCEB"/>
    <w:rsid w:val="714981EE"/>
    <w:rsid w:val="71EEF865"/>
    <w:rsid w:val="72B9E7BF"/>
    <w:rsid w:val="738AC8C6"/>
    <w:rsid w:val="75FC8969"/>
    <w:rsid w:val="76585C8F"/>
    <w:rsid w:val="788D602A"/>
    <w:rsid w:val="79D117AB"/>
    <w:rsid w:val="79FA0A4A"/>
    <w:rsid w:val="7A8C362C"/>
    <w:rsid w:val="7A9FB883"/>
    <w:rsid w:val="7DF0C6BE"/>
    <w:rsid w:val="7DFEC721"/>
    <w:rsid w:val="7F85B25E"/>
    <w:rsid w:val="7F873EAB"/>
    <w:rsid w:val="7F908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E9B826"/>
  <w15:chartTrackingRefBased/>
  <w15:docId w15:val="{06906CFE-CF47-4CD4-A6CB-F8452CDAB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DC73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731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01E7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01E77"/>
  </w:style>
  <w:style w:type="paragraph" w:styleId="Footer">
    <w:name w:val="footer"/>
    <w:basedOn w:val="Normal"/>
    <w:link w:val="FooterChar"/>
    <w:uiPriority w:val="99"/>
    <w:unhideWhenUsed/>
    <w:rsid w:val="00801E7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01E77"/>
  </w:style>
  <w:style w:type="character" w:styleId="normaltextrun" w:customStyle="1">
    <w:name w:val="normaltextrun"/>
    <w:basedOn w:val="DefaultParagraphFont"/>
    <w:rsid w:val="00237ADD"/>
  </w:style>
  <w:style w:type="character" w:styleId="cf01" w:customStyle="1">
    <w:name w:val="cf01"/>
    <w:basedOn w:val="DefaultParagraphFont"/>
    <w:rsid w:val="00C56C78"/>
    <w:rPr>
      <w:rFonts w:hint="default" w:ascii="Segoe UI" w:hAnsi="Segoe UI" w:cs="Segoe UI"/>
      <w:sz w:val="18"/>
      <w:szCs w:val="18"/>
    </w:rPr>
  </w:style>
  <w:style w:type="character" w:styleId="cf11" w:customStyle="1">
    <w:name w:val="cf11"/>
    <w:basedOn w:val="DefaultParagraphFont"/>
    <w:rsid w:val="00C56C78"/>
    <w:rPr>
      <w:rFonts w:hint="default" w:ascii="Segoe UI" w:hAnsi="Segoe UI" w:cs="Segoe UI"/>
      <w:color w:val="0D0D0D"/>
      <w:sz w:val="18"/>
      <w:szCs w:val="18"/>
      <w:shd w:val="clear" w:color="auto" w:fill="FFFFFF"/>
    </w:rPr>
  </w:style>
  <w:style w:type="character" w:styleId="cf21" w:customStyle="1">
    <w:name w:val="cf21"/>
    <w:basedOn w:val="DefaultParagraphFont"/>
    <w:rsid w:val="00C56C78"/>
    <w:rPr>
      <w:rFonts w:hint="default" w:ascii="Segoe UI" w:hAnsi="Segoe UI" w:cs="Segoe UI"/>
      <w:color w:val="0D0D0D"/>
      <w:sz w:val="18"/>
      <w:szCs w:val="18"/>
      <w:shd w:val="clear" w:color="auto" w:fill="FFFFFF"/>
    </w:rPr>
  </w:style>
  <w:style w:type="character" w:styleId="CommentReference">
    <w:name w:val="annotation reference"/>
    <w:basedOn w:val="DefaultParagraphFont"/>
    <w:uiPriority w:val="99"/>
    <w:semiHidden/>
    <w:unhideWhenUsed/>
    <w:rsid w:val="00BF53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F5361"/>
    <w:pPr>
      <w:spacing w:line="240" w:lineRule="auto"/>
    </w:pPr>
    <w:rPr>
      <w:sz w:val="20"/>
      <w:szCs w:val="20"/>
      <w:lang w:val="en-IE"/>
    </w:rPr>
  </w:style>
  <w:style w:type="character" w:styleId="CommentTextChar" w:customStyle="1">
    <w:name w:val="Comment Text Char"/>
    <w:basedOn w:val="DefaultParagraphFont"/>
    <w:link w:val="CommentText"/>
    <w:uiPriority w:val="99"/>
    <w:rsid w:val="00BF5361"/>
    <w:rPr>
      <w:sz w:val="20"/>
      <w:szCs w:val="20"/>
      <w:lang w:val="en-I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6C5E"/>
    <w:rPr>
      <w:b/>
      <w:bCs/>
      <w:lang w:val="en-US"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D46C5E"/>
    <w:rPr>
      <w:b/>
      <w:bCs/>
      <w:sz w:val="20"/>
      <w:szCs w:val="20"/>
      <w:lang w:val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186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33199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k.mccarthy1@mycit.ie" TargetMode="External" Id="rId11" /><Relationship Type="http://schemas.openxmlformats.org/officeDocument/2006/relationships/numbering" Target="numbering.xml" Id="rId5" /><Relationship Type="http://schemas.microsoft.com/office/2020/10/relationships/intelligence" Target="intelligence2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9A1C18997E9B4C8813B233E53F3EED" ma:contentTypeVersion="16" ma:contentTypeDescription="Create a new document." ma:contentTypeScope="" ma:versionID="6bde92c84bbe0d58549e6aa6456a2e1d">
  <xsd:schema xmlns:xsd="http://www.w3.org/2001/XMLSchema" xmlns:xs="http://www.w3.org/2001/XMLSchema" xmlns:p="http://schemas.microsoft.com/office/2006/metadata/properties" xmlns:ns2="a0d117c8-6c1e-4783-a130-b5e8e507d604" xmlns:ns3="08ccb4e3-8c2b-42fa-955c-c88d4e1ca4ca" targetNamespace="http://schemas.microsoft.com/office/2006/metadata/properties" ma:root="true" ma:fieldsID="86b8417db24195fa1af3221da7b0695c" ns2:_="" ns3:_="">
    <xsd:import namespace="a0d117c8-6c1e-4783-a130-b5e8e507d604"/>
    <xsd:import namespace="08ccb4e3-8c2b-42fa-955c-c88d4e1ca4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d117c8-6c1e-4783-a130-b5e8e507d6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aad9230-3fe2-4acd-82bb-645646f98d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ccb4e3-8c2b-42fa-955c-c88d4e1ca4c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ef2b7a7-afb1-4c4a-8a1c-b3fad7fdac22}" ma:internalName="TaxCatchAll" ma:showField="CatchAllData" ma:web="08ccb4e3-8c2b-42fa-955c-c88d4e1ca4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ccb4e3-8c2b-42fa-955c-c88d4e1ca4ca" xsi:nil="true"/>
    <lcf76f155ced4ddcb4097134ff3c332f xmlns="a0d117c8-6c1e-4783-a130-b5e8e507d60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DA23769-F777-4EC5-9BA1-EBDA7CD072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37E05A-15F9-44C2-91E0-0F00569B2711}"/>
</file>

<file path=customXml/itemProps3.xml><?xml version="1.0" encoding="utf-8"?>
<ds:datastoreItem xmlns:ds="http://schemas.openxmlformats.org/officeDocument/2006/customXml" ds:itemID="{9A2DDF91-7E39-4917-A975-2E9833EF6B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9C4ACA6-5121-4A2B-87BF-2ED1143E174A}">
  <ds:schemaRefs>
    <ds:schemaRef ds:uri="http://schemas.microsoft.com/office/2006/metadata/properties"/>
    <ds:schemaRef ds:uri="http://schemas.microsoft.com/office/infopath/2007/PartnerControls"/>
    <ds:schemaRef ds:uri="08ccb4e3-8c2b-42fa-955c-c88d4e1ca4ca"/>
    <ds:schemaRef ds:uri="a0d117c8-6c1e-4783-a130-b5e8e507d604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Mahon</dc:creator>
  <cp:keywords/>
  <dc:description/>
  <cp:lastModifiedBy>Caroline Mahon</cp:lastModifiedBy>
  <cp:revision>152</cp:revision>
  <dcterms:created xsi:type="dcterms:W3CDTF">2024-05-24T10:59:00Z</dcterms:created>
  <dcterms:modified xsi:type="dcterms:W3CDTF">2024-05-27T11:31:07Z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0x010100049A1C18997E9B4C8813B233E53F3EED</vt:lpwstr>
  </property>
  <property fmtid="{D5CDD505-2E9C-101B-9397-08002B2CF9AE}" pid="3" name="MediaServiceImageTags">
    <vt:lpwstr/>
  </property>
  <property fmtid="{D5CDD505-2E9C-101B-9397-08002B2CF9AE}" pid="4" name="GrammarlyDocumentId">
    <vt:lpwstr>7a16d9c3d801bb2af58580ee0a3f8c39996d8e4cf570f18ca09239674a65f3c9</vt:lpwstr>
  </property>
</Properties>
</file>