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F9" w:rsidRPr="002245F9" w:rsidRDefault="002245F9" w:rsidP="002245F9">
      <w:pPr>
        <w:pStyle w:val="Title"/>
        <w:rPr>
          <w:rFonts w:ascii="Calibri Light" w:hAnsi="Calibri Light"/>
          <w:lang w:val="en-GB"/>
        </w:rPr>
      </w:pPr>
      <w:r w:rsidRPr="002245F9">
        <w:rPr>
          <w:rFonts w:ascii="Calibri Light" w:hAnsi="Calibri Light"/>
          <w:lang w:val="en-GB"/>
        </w:rPr>
        <w:t>Graduate Outcomes Survey</w:t>
      </w:r>
    </w:p>
    <w:p w:rsidR="002245F9" w:rsidRPr="002245F9" w:rsidRDefault="00F214AC" w:rsidP="00721F03">
      <w:pPr>
        <w:pStyle w:val="Heading1"/>
        <w:jc w:val="both"/>
        <w:rPr>
          <w:rFonts w:ascii="Calibri Light" w:hAnsi="Calibri Light"/>
          <w:lang w:val="en-GB"/>
        </w:rPr>
      </w:pPr>
      <w:r>
        <w:rPr>
          <w:rFonts w:ascii="Calibri Light" w:hAnsi="Calibri Light"/>
          <w:lang w:val="en-GB"/>
        </w:rPr>
        <w:t>Data</w:t>
      </w:r>
      <w:r w:rsidR="002245F9" w:rsidRPr="002245F9">
        <w:rPr>
          <w:rFonts w:ascii="Calibri Light" w:hAnsi="Calibri Light"/>
          <w:lang w:val="en-GB"/>
        </w:rPr>
        <w:t xml:space="preserve"> </w:t>
      </w:r>
      <w:r w:rsidR="00736013">
        <w:rPr>
          <w:rFonts w:ascii="Calibri Light" w:hAnsi="Calibri Light"/>
          <w:lang w:val="en-GB"/>
        </w:rPr>
        <w:t>Collection</w:t>
      </w:r>
      <w:r w:rsidR="002245F9" w:rsidRPr="002245F9">
        <w:rPr>
          <w:rFonts w:ascii="Calibri Light" w:hAnsi="Calibri Light"/>
          <w:lang w:val="en-GB"/>
        </w:rPr>
        <w:t xml:space="preserve"> Notice</w:t>
      </w:r>
    </w:p>
    <w:p w:rsidR="00736013" w:rsidRDefault="00736013" w:rsidP="00721F03">
      <w:pPr>
        <w:jc w:val="both"/>
        <w:rPr>
          <w:b/>
          <w:szCs w:val="24"/>
        </w:rPr>
      </w:pPr>
    </w:p>
    <w:p w:rsidR="00736013" w:rsidRDefault="00736013" w:rsidP="00721F03">
      <w:pPr>
        <w:jc w:val="both"/>
        <w:rPr>
          <w:rFonts w:asciiTheme="minorHAnsi" w:hAnsiTheme="minorHAnsi"/>
          <w:b/>
          <w:szCs w:val="24"/>
        </w:rPr>
      </w:pPr>
      <w:r>
        <w:rPr>
          <w:b/>
          <w:szCs w:val="24"/>
        </w:rPr>
        <w:t xml:space="preserve">Higher education institutions must provide the HEA Student Data Collection notice to their students.  </w:t>
      </w:r>
    </w:p>
    <w:p w:rsidR="00736013" w:rsidRDefault="00736013" w:rsidP="00721F03">
      <w:pPr>
        <w:jc w:val="both"/>
        <w:rPr>
          <w:sz w:val="22"/>
        </w:rPr>
      </w:pPr>
      <w:r>
        <w:t xml:space="preserve">Article 13 of the General Data Protection Regulation requires information to be provided, or made readily available, to data subjects so that they are not deceived or misled as to the purposes for which their data is to be processed. In order to satisfy this principle, the HEA supply text for use by HEIs. </w:t>
      </w:r>
    </w:p>
    <w:p w:rsidR="00736013" w:rsidRDefault="00736013" w:rsidP="00721F03">
      <w:pPr>
        <w:jc w:val="both"/>
      </w:pPr>
      <w:r>
        <w:t>The student data collection notice can be supplied to students in any of the following areas:</w:t>
      </w:r>
    </w:p>
    <w:p w:rsidR="00736013" w:rsidRDefault="00736013" w:rsidP="00721F03">
      <w:pPr>
        <w:jc w:val="both"/>
      </w:pPr>
      <w:r>
        <w:t>•Providing the text with the registration form and the HEI's own data protection statement;</w:t>
      </w:r>
    </w:p>
    <w:p w:rsidR="00736013" w:rsidRDefault="00736013" w:rsidP="00721F03">
      <w:pPr>
        <w:jc w:val="both"/>
      </w:pPr>
      <w:r>
        <w:t xml:space="preserve">•Including the text on a website with the HEI's own data protection information; </w:t>
      </w:r>
    </w:p>
    <w:p w:rsidR="00736013" w:rsidRDefault="00736013" w:rsidP="00721F03">
      <w:pPr>
        <w:jc w:val="both"/>
      </w:pPr>
      <w:r>
        <w:t>•Including the text in a student handbook or other reference source for students.</w:t>
      </w:r>
    </w:p>
    <w:p w:rsidR="00736013" w:rsidRDefault="00736013" w:rsidP="00721F03">
      <w:pPr>
        <w:jc w:val="both"/>
        <w:rPr>
          <w:b/>
          <w:sz w:val="28"/>
          <w:szCs w:val="28"/>
        </w:rPr>
      </w:pPr>
      <w:r>
        <w:rPr>
          <w:b/>
          <w:sz w:val="28"/>
          <w:szCs w:val="28"/>
        </w:rPr>
        <w:br w:type="page"/>
      </w:r>
    </w:p>
    <w:p w:rsidR="00736013" w:rsidRDefault="00736013" w:rsidP="00721F03">
      <w:pPr>
        <w:jc w:val="both"/>
        <w:rPr>
          <w:b/>
          <w:sz w:val="28"/>
          <w:szCs w:val="28"/>
        </w:rPr>
      </w:pPr>
      <w:r>
        <w:rPr>
          <w:b/>
          <w:sz w:val="28"/>
          <w:szCs w:val="28"/>
        </w:rPr>
        <w:lastRenderedPageBreak/>
        <w:t>HEA Student Data Collection Notice 2018</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Who we are (data controllers)</w:t>
      </w:r>
    </w:p>
    <w:p w:rsidR="00736013" w:rsidRDefault="00736013" w:rsidP="00721F03">
      <w:pPr>
        <w:spacing w:before="120" w:after="120"/>
        <w:jc w:val="both"/>
        <w:rPr>
          <w:rFonts w:cstheme="minorHAnsi"/>
        </w:rPr>
      </w:pPr>
      <w:r>
        <w:rPr>
          <w:rFonts w:cstheme="minorHAnsi"/>
        </w:rPr>
        <w:t xml:space="preserve">The Higher Education Authority (HEA) with an address at 3 Shelbourne Buildings, Shelbourne Road, Ballsbridge, Dublin 4. The HEA is a public body with authority derived from the Higher Education Authority Act 1971 (the 1971 Act). </w:t>
      </w:r>
    </w:p>
    <w:p w:rsidR="00736013" w:rsidRDefault="00736013" w:rsidP="00721F03">
      <w:pPr>
        <w:spacing w:before="120" w:after="120"/>
        <w:jc w:val="both"/>
        <w:rPr>
          <w:rFonts w:cstheme="minorHAnsi"/>
        </w:rPr>
      </w:pPr>
      <w:r>
        <w:rPr>
          <w:rFonts w:cstheme="minorHAnsi"/>
        </w:rPr>
        <w:t>The HEA are responsible for funding higher education institutions and advising the Minister for Education and Skills on policy formulation to develop the highest standards in our higher education system.</w:t>
      </w:r>
    </w:p>
    <w:p w:rsidR="00736013" w:rsidRDefault="00736013" w:rsidP="00721F03">
      <w:pPr>
        <w:spacing w:before="120" w:after="120"/>
        <w:jc w:val="both"/>
        <w:rPr>
          <w:rFonts w:cstheme="minorHAnsi"/>
        </w:rPr>
      </w:pPr>
      <w:r>
        <w:rPr>
          <w:rFonts w:cstheme="minorHAnsi"/>
        </w:rPr>
        <w:t xml:space="preserve">This notice sets out the basis on which any personal data collected from you, or from others, will be processed by the HEA.  Please read the following carefully to understand HEA practices regarding your personal data and how the HEA will treat these data. </w:t>
      </w:r>
    </w:p>
    <w:p w:rsidR="00736013" w:rsidRDefault="00736013" w:rsidP="00721F03">
      <w:pPr>
        <w:spacing w:before="120" w:after="120"/>
        <w:jc w:val="both"/>
        <w:rPr>
          <w:rFonts w:cstheme="minorHAnsi"/>
        </w:rPr>
      </w:pPr>
      <w:r>
        <w:rPr>
          <w:rFonts w:cstheme="minorHAnsi"/>
        </w:rPr>
        <w:t xml:space="preserve">For the purpose of the Data Protection Acts 1988 and 2018 (as amended) and the General Data Protection Regulation (the GDPR) (the </w:t>
      </w:r>
      <w:r>
        <w:rPr>
          <w:rFonts w:cstheme="minorHAnsi"/>
          <w:b/>
        </w:rPr>
        <w:t>Acts</w:t>
      </w:r>
      <w:r>
        <w:rPr>
          <w:rFonts w:cstheme="minorHAnsi"/>
        </w:rPr>
        <w:t>):</w:t>
      </w:r>
    </w:p>
    <w:p w:rsidR="00736013" w:rsidRDefault="00736013" w:rsidP="00721F03">
      <w:pPr>
        <w:pStyle w:val="ListParagraph"/>
        <w:numPr>
          <w:ilvl w:val="0"/>
          <w:numId w:val="4"/>
        </w:numPr>
        <w:spacing w:before="120" w:after="120" w:line="256" w:lineRule="auto"/>
        <w:jc w:val="both"/>
        <w:rPr>
          <w:rFonts w:ascii="Calibri" w:hAnsi="Calibri" w:cs="Calibri"/>
        </w:rPr>
      </w:pPr>
      <w:r>
        <w:rPr>
          <w:rFonts w:ascii="Calibri" w:hAnsi="Calibri" w:cs="Calibri"/>
        </w:rPr>
        <w:t>The HEA and the higher education institution are joint data controllers. Data are collected by each higher education institution, including at registration, and are shared with the HEA via annual returns to the student records system in the HEA.</w:t>
      </w:r>
    </w:p>
    <w:p w:rsidR="00736013" w:rsidRDefault="00736013" w:rsidP="00721F03">
      <w:pPr>
        <w:spacing w:before="120" w:after="120"/>
        <w:jc w:val="both"/>
        <w:rPr>
          <w:rFonts w:asciiTheme="minorHAnsi" w:hAnsiTheme="minorHAnsi" w:cstheme="minorHAnsi"/>
          <w:sz w:val="4"/>
          <w:szCs w:val="4"/>
        </w:rPr>
      </w:pPr>
    </w:p>
    <w:p w:rsidR="00736013" w:rsidRDefault="00736013" w:rsidP="00721F03">
      <w:pPr>
        <w:spacing w:after="0"/>
        <w:jc w:val="both"/>
        <w:rPr>
          <w:sz w:val="22"/>
          <w:lang w:val="en-US"/>
        </w:rPr>
      </w:pPr>
      <w:r>
        <w:rPr>
          <w:rFonts w:cs="Calibri"/>
        </w:rPr>
        <w:t xml:space="preserve">The HEA Data Protection Officer (“DPO”) may be contacted at </w:t>
      </w:r>
      <w:hyperlink r:id="rId7" w:history="1">
        <w:r>
          <w:rPr>
            <w:rStyle w:val="Hyperlink"/>
            <w:lang w:val="en-US"/>
          </w:rPr>
          <w:t>dataprotection@hea.ie</w:t>
        </w:r>
      </w:hyperlink>
      <w:r w:rsidR="00721F03">
        <w:rPr>
          <w:rStyle w:val="Hyperlink"/>
          <w:lang w:val="en-US"/>
        </w:rPr>
        <w:t>.</w:t>
      </w:r>
      <w:r>
        <w:rPr>
          <w:lang w:val="en-US"/>
        </w:rPr>
        <w:t xml:space="preserve"> </w:t>
      </w:r>
    </w:p>
    <w:p w:rsidR="00736013" w:rsidRDefault="00736013" w:rsidP="00721F03">
      <w:pPr>
        <w:spacing w:after="0"/>
        <w:jc w:val="both"/>
        <w:rPr>
          <w:rFonts w:cs="Calibri"/>
          <w:sz w:val="8"/>
          <w:szCs w:val="8"/>
        </w:rPr>
      </w:pPr>
    </w:p>
    <w:p w:rsidR="00736013" w:rsidRDefault="00736013" w:rsidP="00721F03">
      <w:pPr>
        <w:jc w:val="both"/>
        <w:rPr>
          <w:rFonts w:asciiTheme="minorHAnsi" w:hAnsiTheme="minorHAnsi"/>
          <w:sz w:val="22"/>
          <w:lang w:val="en-US"/>
        </w:rPr>
      </w:pPr>
      <w:r>
        <w:rPr>
          <w:highlight w:val="yellow"/>
          <w:lang w:val="en-US"/>
        </w:rPr>
        <w:t>Please insert HEI name, relevant contact person and contact email here</w:t>
      </w:r>
    </w:p>
    <w:p w:rsidR="00736013" w:rsidRDefault="00736013" w:rsidP="00721F03">
      <w:pPr>
        <w:pStyle w:val="Heading1"/>
        <w:jc w:val="both"/>
      </w:pPr>
      <w:r w:rsidRPr="00736013">
        <w:rPr>
          <w:rFonts w:ascii="Calibri Light" w:hAnsi="Calibri Light"/>
          <w:lang w:val="en-GB"/>
        </w:rPr>
        <w:t>What PERSONAL information does the HEA collect from you or obtain from others?</w:t>
      </w:r>
    </w:p>
    <w:p w:rsidR="00736013" w:rsidRDefault="00736013" w:rsidP="00721F03">
      <w:pPr>
        <w:jc w:val="both"/>
        <w:rPr>
          <w:lang w:val="en-US"/>
        </w:rPr>
      </w:pPr>
      <w:r>
        <w:rPr>
          <w:lang w:val="en-US"/>
        </w:rPr>
        <w:t>The HEA collect student record and graduate outcome data from higher education institutions so that the HEA can perform their statutory functions under the 1971 Act. The HEA collect and process the following personal data:</w:t>
      </w:r>
    </w:p>
    <w:p w:rsidR="00736013" w:rsidRDefault="00736013" w:rsidP="00721F03">
      <w:pPr>
        <w:pStyle w:val="ListParagraph"/>
        <w:numPr>
          <w:ilvl w:val="0"/>
          <w:numId w:val="5"/>
        </w:numPr>
        <w:spacing w:after="160" w:line="256" w:lineRule="auto"/>
        <w:jc w:val="both"/>
        <w:rPr>
          <w:lang w:val="en-US"/>
        </w:rPr>
      </w:pPr>
      <w:r>
        <w:rPr>
          <w:lang w:val="en-US"/>
        </w:rPr>
        <w:t>Student record system data (SRS) based on institution’s registration data;</w:t>
      </w:r>
    </w:p>
    <w:p w:rsidR="00736013" w:rsidRDefault="00736013" w:rsidP="00721F03">
      <w:pPr>
        <w:pStyle w:val="ListParagraph"/>
        <w:numPr>
          <w:ilvl w:val="0"/>
          <w:numId w:val="5"/>
        </w:numPr>
        <w:spacing w:after="160" w:line="256" w:lineRule="auto"/>
        <w:jc w:val="both"/>
      </w:pPr>
      <w:r>
        <w:t>About nine months after you graduate, the higher education institution may contact you to ask you to fill in the HEA Graduate Outcomes Survey. This is voluntary, and the higher education institution will not give your phone or email contact details used for this survey to the HEA.</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What other information does the HEA collect from you or obtain from others?</w:t>
      </w:r>
    </w:p>
    <w:p w:rsidR="00736013" w:rsidRDefault="00736013" w:rsidP="00721F03">
      <w:pPr>
        <w:pStyle w:val="ListParagraph"/>
        <w:numPr>
          <w:ilvl w:val="0"/>
          <w:numId w:val="5"/>
        </w:numPr>
        <w:spacing w:after="160" w:line="256" w:lineRule="auto"/>
        <w:jc w:val="both"/>
        <w:rPr>
          <w:lang w:val="en-US"/>
        </w:rPr>
      </w:pPr>
      <w:r>
        <w:rPr>
          <w:lang w:val="en-US"/>
        </w:rPr>
        <w:t>Data from the voluntary Equal Access Survey, these are anonymised data;</w:t>
      </w:r>
    </w:p>
    <w:p w:rsidR="00736013" w:rsidRDefault="00736013" w:rsidP="00721F03">
      <w:pPr>
        <w:pStyle w:val="ListParagraph"/>
        <w:numPr>
          <w:ilvl w:val="0"/>
          <w:numId w:val="5"/>
        </w:numPr>
        <w:spacing w:after="160" w:line="256" w:lineRule="auto"/>
        <w:jc w:val="both"/>
        <w:rPr>
          <w:szCs w:val="24"/>
        </w:rPr>
      </w:pPr>
      <w:r>
        <w:rPr>
          <w:szCs w:val="24"/>
        </w:rPr>
        <w:t xml:space="preserve">During your studies, you will be invited to participate in the Irish National Survey of Student Engagement. Some of your information may be sent to the HEA to ensure that the survey is offered only to relevant target groups. Your information may be matched to your survey </w:t>
      </w:r>
      <w:r>
        <w:rPr>
          <w:szCs w:val="24"/>
        </w:rPr>
        <w:lastRenderedPageBreak/>
        <w:t>responses in order to allow for anonymous analysis of results, for example, by gender or full-time / part-time. Your responses will be treated confidentially and no individual student will be identifiable in any reports or results generated as a result of this survey.</w:t>
      </w:r>
    </w:p>
    <w:p w:rsidR="00736013" w:rsidRDefault="00736013" w:rsidP="00721F03">
      <w:pPr>
        <w:pStyle w:val="ListParagraph"/>
        <w:jc w:val="both"/>
        <w:rPr>
          <w:szCs w:val="24"/>
        </w:rPr>
      </w:pPr>
    </w:p>
    <w:p w:rsidR="00736013" w:rsidRDefault="00736013" w:rsidP="00721F03">
      <w:pPr>
        <w:pStyle w:val="ListParagraph"/>
        <w:ind w:left="0"/>
        <w:jc w:val="both"/>
        <w:rPr>
          <w:szCs w:val="24"/>
        </w:rPr>
      </w:pPr>
      <w:r>
        <w:rPr>
          <w:szCs w:val="24"/>
        </w:rPr>
        <w:t>A list of all individual data items in Schedule 2 to this Notice.</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 xml:space="preserve">Why does the HEA collect this information? </w:t>
      </w:r>
    </w:p>
    <w:p w:rsidR="00736013" w:rsidRDefault="00736013" w:rsidP="00721F03">
      <w:pPr>
        <w:jc w:val="both"/>
        <w:rPr>
          <w:lang w:val="en-US"/>
        </w:rPr>
      </w:pPr>
      <w:r>
        <w:rPr>
          <w:lang w:val="en-US"/>
        </w:rPr>
        <w:t>The HEA uses this data for fact-based statistical analysis to help understand the real needs that higher education should meet, to promote equality of opportunity in higher education and to assist the Government in developing future higher education policies and investment.  The HEA does this by linking data from the Student Records System and information from the Graduate Outcomes Survey through student ID number and/or PPSN for more accurate statistical analysis to help improve education services and policies.</w:t>
      </w:r>
    </w:p>
    <w:p w:rsidR="00736013" w:rsidRDefault="00736013" w:rsidP="00721F03">
      <w:pPr>
        <w:jc w:val="both"/>
      </w:pPr>
      <w:r>
        <w:t>The HEA use student records to produce anonymised aggregate data in annual statistical publications.</w:t>
      </w:r>
    </w:p>
    <w:p w:rsidR="00736013" w:rsidRDefault="00736013" w:rsidP="00721F03">
      <w:pPr>
        <w:spacing w:before="240" w:after="240"/>
        <w:jc w:val="both"/>
        <w:rPr>
          <w:rFonts w:cstheme="minorHAnsi"/>
        </w:rPr>
      </w:pPr>
      <w:r>
        <w:rPr>
          <w:rFonts w:cstheme="minorHAnsi"/>
        </w:rPr>
        <w:t xml:space="preserve">The legal bases for the processing of your data are: </w:t>
      </w:r>
    </w:p>
    <w:p w:rsidR="00736013" w:rsidRDefault="00736013" w:rsidP="00721F03">
      <w:pPr>
        <w:pStyle w:val="ListParagraph"/>
        <w:numPr>
          <w:ilvl w:val="0"/>
          <w:numId w:val="6"/>
        </w:numPr>
        <w:spacing w:before="240" w:after="240" w:line="256" w:lineRule="auto"/>
        <w:jc w:val="both"/>
        <w:rPr>
          <w:rFonts w:cstheme="minorHAnsi"/>
        </w:rPr>
      </w:pPr>
      <w:r>
        <w:rPr>
          <w:rFonts w:cstheme="minorHAnsi"/>
        </w:rPr>
        <w:t>That you have provided consent for the processing for one or more specified purposes such as when you undertake one of our surveys;</w:t>
      </w:r>
    </w:p>
    <w:p w:rsidR="00736013" w:rsidRDefault="00736013" w:rsidP="00721F03">
      <w:pPr>
        <w:pStyle w:val="ListParagraph"/>
        <w:numPr>
          <w:ilvl w:val="0"/>
          <w:numId w:val="6"/>
        </w:numPr>
        <w:spacing w:before="240" w:after="240" w:line="256" w:lineRule="auto"/>
        <w:jc w:val="both"/>
        <w:rPr>
          <w:rFonts w:cstheme="minorHAnsi"/>
        </w:rPr>
      </w:pPr>
      <w:r>
        <w:rPr>
          <w:rFonts w:cstheme="minorHAnsi"/>
        </w:rPr>
        <w:t>Processing necessary for compliance with a legal obligation to which the HEA are subject;</w:t>
      </w:r>
    </w:p>
    <w:p w:rsidR="00736013" w:rsidRDefault="00736013" w:rsidP="00721F03">
      <w:pPr>
        <w:pStyle w:val="ListParagraph"/>
        <w:numPr>
          <w:ilvl w:val="0"/>
          <w:numId w:val="6"/>
        </w:numPr>
        <w:spacing w:before="240" w:after="240" w:line="256" w:lineRule="auto"/>
        <w:jc w:val="both"/>
        <w:rPr>
          <w:rFonts w:cstheme="minorHAnsi"/>
        </w:rPr>
      </w:pPr>
      <w:r>
        <w:rPr>
          <w:rFonts w:cstheme="minorHAnsi"/>
        </w:rPr>
        <w:t xml:space="preserve">Processing </w:t>
      </w:r>
      <w:r>
        <w:rPr>
          <w:rFonts w:cstheme="minorHAnsi"/>
          <w:lang w:val="en-US"/>
        </w:rPr>
        <w:t>necessary for the performance of a task carried out in the public interest or in the exercise of official authority vested in the HEA as the controller by virtue of statutory functions as set out in the 1971 Act.</w:t>
      </w:r>
    </w:p>
    <w:p w:rsidR="00736013" w:rsidRDefault="00736013" w:rsidP="00721F03">
      <w:pPr>
        <w:jc w:val="both"/>
      </w:pPr>
      <w:r>
        <w:t xml:space="preserve">The legal bases for the processing of your special category data or sensitive data are: </w:t>
      </w:r>
    </w:p>
    <w:p w:rsidR="00736013" w:rsidRDefault="00736013" w:rsidP="00721F03">
      <w:pPr>
        <w:pStyle w:val="ListParagraph"/>
        <w:numPr>
          <w:ilvl w:val="0"/>
          <w:numId w:val="6"/>
        </w:numPr>
        <w:spacing w:before="240" w:after="240" w:line="256" w:lineRule="auto"/>
        <w:jc w:val="both"/>
        <w:rPr>
          <w:rFonts w:cstheme="minorHAnsi"/>
        </w:rPr>
      </w:pPr>
      <w:r>
        <w:rPr>
          <w:rFonts w:cstheme="minorHAnsi"/>
        </w:rPr>
        <w:t>Processing necessary for compliance with a legal obligation to which the HEA are subject;</w:t>
      </w:r>
    </w:p>
    <w:p w:rsidR="00736013" w:rsidRDefault="00736013" w:rsidP="00721F03">
      <w:pPr>
        <w:pStyle w:val="ListParagraph"/>
        <w:numPr>
          <w:ilvl w:val="0"/>
          <w:numId w:val="6"/>
        </w:numPr>
        <w:spacing w:after="160" w:line="256" w:lineRule="auto"/>
        <w:jc w:val="both"/>
      </w:pPr>
      <w:r>
        <w:rPr>
          <w:rFonts w:cstheme="minorHAnsi"/>
        </w:rPr>
        <w:t>Processing necessary for archiving purposes in the public interest, scientific or historical research purposes or statistical purposes.</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Who the HEA shares your data with:</w:t>
      </w:r>
    </w:p>
    <w:p w:rsidR="00736013" w:rsidRDefault="00736013" w:rsidP="00721F03">
      <w:pPr>
        <w:jc w:val="both"/>
      </w:pPr>
      <w:r>
        <w:t>The HEA shares records with other official bodies such as The Department of Education and Skills,  City of Dublin Education and Training Board (CDETB) and the Central Statistics Office for the following purposes:</w:t>
      </w:r>
    </w:p>
    <w:p w:rsidR="00736013" w:rsidRDefault="00736013" w:rsidP="00721F03">
      <w:pPr>
        <w:pStyle w:val="ListParagraph"/>
        <w:numPr>
          <w:ilvl w:val="0"/>
          <w:numId w:val="7"/>
        </w:numPr>
        <w:spacing w:after="160" w:line="256" w:lineRule="auto"/>
        <w:jc w:val="both"/>
        <w:rPr>
          <w:b/>
        </w:rPr>
      </w:pPr>
      <w:r>
        <w:rPr>
          <w:b/>
        </w:rPr>
        <w:t>Student Grant Application Verification</w:t>
      </w:r>
    </w:p>
    <w:p w:rsidR="00736013" w:rsidRDefault="00736013" w:rsidP="00721F03">
      <w:pPr>
        <w:jc w:val="both"/>
      </w:pPr>
      <w:r>
        <w:t xml:space="preserve">The HEA will provide your student record to CDETB (SUSI - Student Universal Support Ireland), an agent of the Department of Education and Skills.  This record will include data on any previous enrolment in higher education in the Republic of Ireland. The HEA record is provided to CDETB (SUSI) for the purposes of verifying data supplied as part of grant applications, verifying that a student is enrolled or registered in accordance with the rules of an approved </w:t>
      </w:r>
      <w:r>
        <w:lastRenderedPageBreak/>
        <w:t xml:space="preserve">institution, assisting in the processing of applications for grants and determining an applicant’s eligibility for grant support under the education progression requirements of the Student Grant Scheme and the Student Support Act 2011.  </w:t>
      </w:r>
    </w:p>
    <w:p w:rsidR="00736013" w:rsidRDefault="00736013" w:rsidP="00721F03">
      <w:pPr>
        <w:pStyle w:val="ListParagraph"/>
        <w:numPr>
          <w:ilvl w:val="0"/>
          <w:numId w:val="7"/>
        </w:numPr>
        <w:spacing w:after="160" w:line="256" w:lineRule="auto"/>
        <w:jc w:val="both"/>
        <w:rPr>
          <w:b/>
        </w:rPr>
      </w:pPr>
      <w:r>
        <w:rPr>
          <w:b/>
        </w:rPr>
        <w:t>Statutory Statistical functions</w:t>
      </w:r>
    </w:p>
    <w:p w:rsidR="00736013" w:rsidRDefault="00736013" w:rsidP="00721F03">
      <w:pPr>
        <w:jc w:val="both"/>
      </w:pPr>
      <w:r>
        <w:t xml:space="preserve">The HEA records are also used by the Central Statistics Office in order to carry out their statutory functions of measuring population levels and monitoring public expenditure. </w:t>
      </w:r>
    </w:p>
    <w:p w:rsidR="00736013" w:rsidRDefault="00736013" w:rsidP="00721F03">
      <w:pPr>
        <w:pStyle w:val="ListParagraph"/>
        <w:numPr>
          <w:ilvl w:val="0"/>
          <w:numId w:val="7"/>
        </w:numPr>
        <w:spacing w:after="160" w:line="256" w:lineRule="auto"/>
        <w:jc w:val="both"/>
        <w:rPr>
          <w:b/>
        </w:rPr>
      </w:pPr>
      <w:r>
        <w:rPr>
          <w:b/>
        </w:rPr>
        <w:t xml:space="preserve">Research, equal opportunity, journalism, other legitimate interest/public function </w:t>
      </w:r>
    </w:p>
    <w:p w:rsidR="00736013" w:rsidRDefault="00736013" w:rsidP="00721F03">
      <w:pPr>
        <w:spacing w:line="240" w:lineRule="auto"/>
        <w:jc w:val="both"/>
      </w:pPr>
      <w:r>
        <w:t>HEA student microdata is provided to the Department of Education and Skills to allow for research and analysis using this data within the Department, for instance for transition rate analysis and third level demand projections.</w:t>
      </w:r>
    </w:p>
    <w:p w:rsidR="00736013" w:rsidRDefault="00736013" w:rsidP="00721F03">
      <w:pPr>
        <w:spacing w:line="240" w:lineRule="auto"/>
        <w:jc w:val="both"/>
      </w:pPr>
      <w:r>
        <w:t>HEA student data (PPSN, name, address, date of birth) is sent to the Department of Employment Affairs and Social Protection Client Identity Services to verify PPSN.</w:t>
      </w:r>
    </w:p>
    <w:p w:rsidR="00736013" w:rsidRDefault="00736013" w:rsidP="00721F03">
      <w:pPr>
        <w:spacing w:line="240" w:lineRule="auto"/>
        <w:jc w:val="both"/>
      </w:pPr>
      <w:r>
        <w:t>HEA administrative graduate data is linked via PPSN to Revenue administrative employment data, Department of Employment Affairs and Social Protection administrative benefits data and Department of Education and Skills administrative student data in the Central Statistics Office to analyse graduate outcomes and evaluate higher education effectiveness. The HEA graduate data may also be linked to SOLAS, Quality and Qualifications Ireland (QQI), SUSI and State Examinations Commission (SEC) data in the Central Statistics Office.</w:t>
      </w:r>
    </w:p>
    <w:p w:rsidR="00736013" w:rsidRDefault="00736013" w:rsidP="00721F03">
      <w:pPr>
        <w:spacing w:line="240" w:lineRule="auto"/>
        <w:jc w:val="both"/>
      </w:pPr>
      <w:r>
        <w:t>HEA administrative data are also shared with SOLAS and the Department of Public Expenditure and Reform to allow for policy formulation and statistical analysis.</w:t>
      </w:r>
    </w:p>
    <w:p w:rsidR="00736013" w:rsidRDefault="00736013" w:rsidP="00721F03">
      <w:pPr>
        <w:spacing w:line="240" w:lineRule="auto"/>
        <w:jc w:val="both"/>
        <w:rPr>
          <w:b/>
        </w:rPr>
      </w:pPr>
      <w:r>
        <w:rPr>
          <w:b/>
        </w:rPr>
        <w:t>Anonymised aggregate (non-personal) data to third parties:</w:t>
      </w:r>
    </w:p>
    <w:p w:rsidR="00736013" w:rsidRDefault="00736013" w:rsidP="00721F03">
      <w:pPr>
        <w:jc w:val="both"/>
      </w:pPr>
      <w:r>
        <w:t xml:space="preserve">The HEA will also supply anonymised aggregate data to third parties for the purposes of equal opportunities monitoring, Freedom of Information, research and journalism in the public interest. These data do not on their own identify any individual: </w:t>
      </w:r>
    </w:p>
    <w:p w:rsidR="00736013" w:rsidRDefault="00736013" w:rsidP="00721F03">
      <w:pPr>
        <w:jc w:val="both"/>
      </w:pPr>
      <w:r>
        <w:t>•Equal opportunities monitoring - the HEA database may contain details of ethnic group and disability (anonymised). These data are only used where they are needed to promote or maintain equality of opportunity or treatment between persons of different racial or ethnic origins, or different states of physical or mental conditions;</w:t>
      </w:r>
    </w:p>
    <w:p w:rsidR="00736013" w:rsidRDefault="00736013" w:rsidP="00721F03">
      <w:pPr>
        <w:jc w:val="both"/>
      </w:pPr>
      <w:r>
        <w:t>•Research - this may be academic research, commercial research or other statistical research into education where this is of benefit to the public interest;</w:t>
      </w:r>
    </w:p>
    <w:p w:rsidR="00736013" w:rsidRDefault="00736013" w:rsidP="00721F03">
      <w:pPr>
        <w:jc w:val="both"/>
      </w:pPr>
      <w:r>
        <w:t>•Journalism, where the relevant publication would be in the public interest;</w:t>
      </w:r>
    </w:p>
    <w:p w:rsidR="00736013" w:rsidRDefault="00736013" w:rsidP="00721F03">
      <w:pPr>
        <w:jc w:val="both"/>
      </w:pPr>
      <w:r>
        <w:t xml:space="preserve">Anonymised aggregate data for the above purposes is supplied by the HEA to the following types of user: </w:t>
      </w:r>
    </w:p>
    <w:p w:rsidR="00736013" w:rsidRDefault="00736013" w:rsidP="00721F03">
      <w:pPr>
        <w:spacing w:line="240" w:lineRule="auto"/>
        <w:jc w:val="both"/>
      </w:pPr>
      <w:r>
        <w:lastRenderedPageBreak/>
        <w:t>•Local, regional and national Government bodies who have an interest in higher education;</w:t>
      </w:r>
    </w:p>
    <w:p w:rsidR="00736013" w:rsidRDefault="00736013" w:rsidP="00721F03">
      <w:pPr>
        <w:spacing w:line="240" w:lineRule="auto"/>
        <w:jc w:val="both"/>
      </w:pPr>
      <w:r>
        <w:t>•Higher education sector bodies;</w:t>
      </w:r>
    </w:p>
    <w:p w:rsidR="00736013" w:rsidRDefault="00736013" w:rsidP="00721F03">
      <w:pPr>
        <w:spacing w:line="240" w:lineRule="auto"/>
        <w:jc w:val="both"/>
      </w:pPr>
      <w:r>
        <w:t>•Higher education institutions;</w:t>
      </w:r>
    </w:p>
    <w:p w:rsidR="00736013" w:rsidRDefault="00736013" w:rsidP="00721F03">
      <w:pPr>
        <w:spacing w:line="240" w:lineRule="auto"/>
        <w:jc w:val="both"/>
      </w:pPr>
      <w:r>
        <w:t>•Academic researchers and students;</w:t>
      </w:r>
    </w:p>
    <w:p w:rsidR="00736013" w:rsidRDefault="00736013" w:rsidP="00721F03">
      <w:pPr>
        <w:spacing w:line="240" w:lineRule="auto"/>
        <w:jc w:val="both"/>
      </w:pPr>
      <w:r>
        <w:t>•Commercial organisations (e.g. recruitment firms, graduate employers);</w:t>
      </w:r>
    </w:p>
    <w:p w:rsidR="00736013" w:rsidRDefault="00736013" w:rsidP="00721F03">
      <w:pPr>
        <w:spacing w:line="240" w:lineRule="auto"/>
        <w:jc w:val="both"/>
      </w:pPr>
      <w:r>
        <w:t>•Unions;</w:t>
      </w:r>
    </w:p>
    <w:p w:rsidR="00736013" w:rsidRDefault="00736013" w:rsidP="00721F03">
      <w:pPr>
        <w:spacing w:line="240" w:lineRule="auto"/>
        <w:jc w:val="both"/>
      </w:pPr>
      <w:r>
        <w:t>•Non-governmental organisations and charities;</w:t>
      </w:r>
    </w:p>
    <w:p w:rsidR="00736013" w:rsidRDefault="00736013" w:rsidP="00721F03">
      <w:pPr>
        <w:spacing w:line="240" w:lineRule="auto"/>
        <w:jc w:val="both"/>
      </w:pPr>
      <w:r>
        <w:t>•Journalists.</w:t>
      </w:r>
    </w:p>
    <w:p w:rsidR="00736013" w:rsidRDefault="00736013" w:rsidP="00721F03">
      <w:pPr>
        <w:jc w:val="both"/>
      </w:pPr>
      <w:r>
        <w:t>Individuals cannot be identified from these anonymised aggregate data.</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How long does the HEA keep hold of your information?</w:t>
      </w:r>
    </w:p>
    <w:p w:rsidR="00736013" w:rsidRDefault="00736013" w:rsidP="00721F03">
      <w:pPr>
        <w:jc w:val="both"/>
      </w:pPr>
      <w:r>
        <w:t xml:space="preserve">The time periods for which the HEA retain your information depends on the type of information and the purposes for which it is used. The HEA will keep your information for no longer than is required or permitted. </w:t>
      </w:r>
    </w:p>
    <w:p w:rsidR="00736013" w:rsidRDefault="00736013" w:rsidP="00721F03">
      <w:pPr>
        <w:jc w:val="both"/>
      </w:pPr>
      <w:r>
        <w:t xml:space="preserve">For further details on the applicable retention periods, please contact the HEA Data Protection Officer at </w:t>
      </w:r>
      <w:hyperlink r:id="rId8" w:history="1">
        <w:r>
          <w:rPr>
            <w:rStyle w:val="Hyperlink"/>
          </w:rPr>
          <w:t>dataprotection@hea.ie</w:t>
        </w:r>
      </w:hyperlink>
      <w:r>
        <w:t xml:space="preserve"> </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Does the HEA transfer your information outside The European Union or European Economic Area?</w:t>
      </w:r>
    </w:p>
    <w:p w:rsidR="00736013" w:rsidRDefault="00736013" w:rsidP="00721F03">
      <w:pPr>
        <w:jc w:val="both"/>
      </w:pPr>
      <w:r>
        <w:t>No.</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What are your rights with respect to your personal data?</w:t>
      </w:r>
    </w:p>
    <w:p w:rsidR="00736013" w:rsidRDefault="00736013" w:rsidP="00721F03">
      <w:pPr>
        <w:widowControl w:val="0"/>
        <w:spacing w:before="120" w:after="120"/>
        <w:jc w:val="both"/>
        <w:rPr>
          <w:rFonts w:cs="Calibri"/>
        </w:rPr>
      </w:pPr>
      <w:r>
        <w:rPr>
          <w:rFonts w:cs="Calibri"/>
        </w:rPr>
        <w:t>You have the following rights:</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The right to access the personal data the HEA holds about you.</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 xml:space="preserve">The right to require the HEA to rectify any inaccurate personal data about you without undue delay. </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The right to have the HEA erase any personal data held about you in circumstances such as where it is no longer necessary to hold the personal data or, in some circumstances, if you have withdrawn your consent to the processing.</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The right to object to the HEA processing personal data about you such as processing for profiling or direct marketing.</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 xml:space="preserve">The right to ask the HEA to provide your personal data to you in a portable format or, where technically feasible, to port that personal data to another provider provided it </w:t>
      </w:r>
      <w:r>
        <w:rPr>
          <w:rFonts w:cs="Calibri"/>
        </w:rPr>
        <w:lastRenderedPageBreak/>
        <w:t>does not result in a disclosure of personal data relating to other people.</w:t>
      </w:r>
    </w:p>
    <w:p w:rsidR="00736013" w:rsidRDefault="00736013" w:rsidP="00721F03">
      <w:pPr>
        <w:widowControl w:val="0"/>
        <w:numPr>
          <w:ilvl w:val="0"/>
          <w:numId w:val="8"/>
        </w:numPr>
        <w:spacing w:before="120" w:after="120" w:line="252" w:lineRule="auto"/>
        <w:ind w:left="442" w:hanging="442"/>
        <w:jc w:val="both"/>
        <w:rPr>
          <w:rFonts w:cs="Calibri"/>
        </w:rPr>
      </w:pPr>
      <w:r>
        <w:rPr>
          <w:rFonts w:cs="Calibri"/>
        </w:rPr>
        <w:t xml:space="preserve">The right to request a restriction of the processing of your personal data. </w:t>
      </w:r>
    </w:p>
    <w:p w:rsidR="00736013" w:rsidRDefault="00736013" w:rsidP="00721F03">
      <w:pPr>
        <w:widowControl w:val="0"/>
        <w:spacing w:before="120" w:after="120"/>
        <w:contextualSpacing/>
        <w:jc w:val="both"/>
        <w:rPr>
          <w:rFonts w:cs="Calibri"/>
        </w:rPr>
      </w:pPr>
      <w:r>
        <w:rPr>
          <w:rFonts w:cs="Calibri"/>
        </w:rPr>
        <w:t>Where HEA processing of your personal data is based on your consent to that processing, you have the right to withdraw that consent at any time but any processing that the HEA have carried out before you withdrew your consent remains lawful.</w:t>
      </w:r>
    </w:p>
    <w:p w:rsidR="00736013" w:rsidRDefault="00736013" w:rsidP="00721F03">
      <w:pPr>
        <w:widowControl w:val="0"/>
        <w:spacing w:before="120" w:after="120"/>
        <w:jc w:val="both"/>
        <w:rPr>
          <w:rFonts w:cs="Calibri"/>
        </w:rPr>
      </w:pPr>
    </w:p>
    <w:p w:rsidR="00736013" w:rsidRDefault="00736013" w:rsidP="00721F03">
      <w:pPr>
        <w:widowControl w:val="0"/>
        <w:spacing w:before="120" w:after="120"/>
        <w:jc w:val="both"/>
        <w:rPr>
          <w:rFonts w:asciiTheme="minorHAnsi" w:hAnsiTheme="minorHAnsi"/>
          <w:lang w:val="en-US"/>
        </w:rPr>
      </w:pPr>
      <w:r>
        <w:rPr>
          <w:rFonts w:cs="Calibri"/>
        </w:rPr>
        <w:t>You may exercise any of the above rights by contacting</w:t>
      </w:r>
      <w:r>
        <w:rPr>
          <w:rFonts w:cs="Calibri"/>
          <w:b/>
        </w:rPr>
        <w:t xml:space="preserve"> </w:t>
      </w:r>
      <w:r>
        <w:rPr>
          <w:rFonts w:cs="Calibri"/>
        </w:rPr>
        <w:t xml:space="preserve">the HEA </w:t>
      </w:r>
      <w:r>
        <w:rPr>
          <w:lang w:val="en-US"/>
        </w:rPr>
        <w:t xml:space="preserve">Data Protection Officer at </w:t>
      </w:r>
      <w:hyperlink r:id="rId9" w:history="1">
        <w:r>
          <w:rPr>
            <w:rStyle w:val="Hyperlink"/>
            <w:lang w:val="en-US"/>
          </w:rPr>
          <w:t>dataprotection@hea.ie</w:t>
        </w:r>
      </w:hyperlink>
      <w:r>
        <w:rPr>
          <w:lang w:val="en-US"/>
        </w:rPr>
        <w:t xml:space="preserve"> </w:t>
      </w:r>
    </w:p>
    <w:p w:rsidR="00736013" w:rsidRDefault="00736013" w:rsidP="00721F03">
      <w:pPr>
        <w:jc w:val="both"/>
      </w:pPr>
      <w:r>
        <w:rPr>
          <w:rFonts w:cs="Calibri"/>
        </w:rPr>
        <w:t xml:space="preserve">You may lodge a complaint with your local supervisory authority with respect to our processing of your personal data. The local Supervisory Authority in Ireland is the Data Protection Commission. The website is </w:t>
      </w:r>
      <w:hyperlink r:id="rId10" w:history="1">
        <w:r>
          <w:rPr>
            <w:rStyle w:val="Hyperlink"/>
            <w:rFonts w:cs="Calibri"/>
          </w:rPr>
          <w:t>www.dataprotection.ie</w:t>
        </w:r>
      </w:hyperlink>
    </w:p>
    <w:p w:rsidR="00736013" w:rsidRDefault="00736013" w:rsidP="00721F03">
      <w:pPr>
        <w:jc w:val="both"/>
      </w:pPr>
      <w:r>
        <w:t>To ensure your privacy and to protect the integrity of your data, the HEA will require you to verify your identity with a photographic ID before releasing or correcting your information.</w:t>
      </w:r>
    </w:p>
    <w:p w:rsidR="00736013" w:rsidRDefault="00736013" w:rsidP="00721F03">
      <w:pPr>
        <w:pStyle w:val="Heading1"/>
        <w:jc w:val="both"/>
        <w:rPr>
          <w:lang w:val="en-US"/>
        </w:rPr>
      </w:pPr>
      <w:r w:rsidRPr="00736013">
        <w:rPr>
          <w:rFonts w:ascii="Calibri Light" w:hAnsi="Calibri Light"/>
          <w:lang w:val="en-GB"/>
        </w:rPr>
        <w:t>What will happen if the HEA change the data collection notice?</w:t>
      </w:r>
    </w:p>
    <w:p w:rsidR="00736013" w:rsidRPr="00F214AC" w:rsidRDefault="00736013" w:rsidP="00721F03">
      <w:pPr>
        <w:jc w:val="both"/>
      </w:pPr>
      <w:r>
        <w:t>This notice may change each year. This notice is applicable to the 2018/19 academic year. A revised notice will issue in the event of any future changes.</w:t>
      </w:r>
    </w:p>
    <w:p w:rsidR="00736013" w:rsidRPr="00736013" w:rsidRDefault="00736013" w:rsidP="00721F03">
      <w:pPr>
        <w:pStyle w:val="Heading1"/>
        <w:jc w:val="both"/>
        <w:rPr>
          <w:rFonts w:ascii="Calibri Light" w:hAnsi="Calibri Light"/>
          <w:lang w:val="en-GB"/>
        </w:rPr>
      </w:pPr>
      <w:r w:rsidRPr="00736013">
        <w:rPr>
          <w:rFonts w:ascii="Calibri Light" w:hAnsi="Calibri Light"/>
          <w:lang w:val="en-GB"/>
        </w:rPr>
        <w:t>How can you contact the HEA?</w:t>
      </w:r>
    </w:p>
    <w:p w:rsidR="00736013" w:rsidRDefault="00736013" w:rsidP="00721F03">
      <w:pPr>
        <w:jc w:val="both"/>
      </w:pPr>
      <w:r>
        <w:t xml:space="preserve">The HEA Data Protection Officer can be contacted by email at </w:t>
      </w:r>
      <w:hyperlink r:id="rId11" w:history="1">
        <w:r>
          <w:rPr>
            <w:rStyle w:val="Hyperlink"/>
            <w:lang w:val="en-US"/>
          </w:rPr>
          <w:t>dataprotection@hea.ie</w:t>
        </w:r>
      </w:hyperlink>
      <w:r>
        <w:rPr>
          <w:lang w:val="en-US"/>
        </w:rPr>
        <w:t xml:space="preserve"> </w:t>
      </w:r>
    </w:p>
    <w:p w:rsidR="00736013" w:rsidRDefault="00736013" w:rsidP="00721F03">
      <w:pPr>
        <w:jc w:val="both"/>
      </w:pPr>
      <w:r>
        <w:t>By phone: 01 2317105</w:t>
      </w:r>
    </w:p>
    <w:p w:rsidR="00736013" w:rsidRDefault="00736013" w:rsidP="00721F03">
      <w:pPr>
        <w:jc w:val="both"/>
      </w:pPr>
      <w:r>
        <w:t>Address: 3 Shelbourne Buildings, Shelbourne Road, Ballsbridge, Dublin 4.</w:t>
      </w:r>
    </w:p>
    <w:p w:rsidR="00F214AC" w:rsidRDefault="00F214AC" w:rsidP="00721F03">
      <w:pPr>
        <w:jc w:val="both"/>
      </w:pPr>
    </w:p>
    <w:p w:rsidR="00F214AC" w:rsidRDefault="00F214AC" w:rsidP="00736013"/>
    <w:p w:rsidR="00F214AC" w:rsidRDefault="00F214AC" w:rsidP="00736013"/>
    <w:p w:rsidR="00F214AC" w:rsidRDefault="00F214AC" w:rsidP="00736013"/>
    <w:p w:rsidR="00F214AC" w:rsidRDefault="00F214AC" w:rsidP="00736013"/>
    <w:p w:rsidR="00F214AC" w:rsidRDefault="00F214AC" w:rsidP="00736013"/>
    <w:p w:rsidR="00F214AC" w:rsidRDefault="00F214AC" w:rsidP="00736013"/>
    <w:p w:rsidR="00F214AC" w:rsidRDefault="00F214AC" w:rsidP="00736013"/>
    <w:p w:rsidR="00F214AC" w:rsidRDefault="00F214AC" w:rsidP="00736013"/>
    <w:p w:rsidR="00736013" w:rsidRDefault="00736013" w:rsidP="00736013">
      <w:pPr>
        <w:rPr>
          <w:b/>
        </w:rPr>
      </w:pPr>
      <w:r>
        <w:rPr>
          <w:b/>
        </w:rPr>
        <w:lastRenderedPageBreak/>
        <w:t>Schedule 1</w:t>
      </w:r>
    </w:p>
    <w:p w:rsidR="00736013" w:rsidRDefault="00736013" w:rsidP="00736013">
      <w:pPr>
        <w:spacing w:before="120" w:after="120" w:line="240" w:lineRule="auto"/>
        <w:jc w:val="both"/>
        <w:rPr>
          <w:rFonts w:eastAsia="Times New Roman" w:cstheme="minorHAnsi"/>
          <w:b/>
          <w:lang w:val="en-GB"/>
        </w:rPr>
      </w:pPr>
      <w:r>
        <w:rPr>
          <w:rFonts w:eastAsia="Times New Roman" w:cstheme="minorHAnsi"/>
          <w:lang w:val="en-GB"/>
        </w:rPr>
        <w:t>The table below sets out a list of third parties with whom the HEA share your data.</w:t>
      </w:r>
    </w:p>
    <w:tbl>
      <w:tblPr>
        <w:tblStyle w:val="TableGrid1"/>
        <w:tblW w:w="6435" w:type="dxa"/>
        <w:tblInd w:w="29" w:type="dxa"/>
        <w:tblLayout w:type="fixed"/>
        <w:tblLook w:val="04A0" w:firstRow="1" w:lastRow="0" w:firstColumn="1" w:lastColumn="0" w:noHBand="0" w:noVBand="1"/>
      </w:tblPr>
      <w:tblGrid>
        <w:gridCol w:w="2041"/>
        <w:gridCol w:w="4394"/>
      </w:tblGrid>
      <w:tr w:rsidR="00736013" w:rsidTr="00736013">
        <w:trPr>
          <w:trHeight w:val="409"/>
        </w:trPr>
        <w:tc>
          <w:tcPr>
            <w:tcW w:w="20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6013" w:rsidRDefault="00736013">
            <w:pPr>
              <w:spacing w:before="60" w:after="60"/>
              <w:rPr>
                <w:rFonts w:cstheme="minorHAnsi"/>
                <w:i/>
                <w:sz w:val="20"/>
                <w:szCs w:val="20"/>
              </w:rPr>
            </w:pPr>
            <w:r>
              <w:rPr>
                <w:rFonts w:cstheme="minorHAnsi"/>
                <w:i/>
                <w:sz w:val="20"/>
                <w:szCs w:val="20"/>
              </w:rPr>
              <w:t xml:space="preserve">Third party name </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6013" w:rsidRDefault="00736013">
            <w:pPr>
              <w:tabs>
                <w:tab w:val="left" w:pos="0"/>
              </w:tabs>
              <w:spacing w:before="60" w:after="60"/>
              <w:rPr>
                <w:rFonts w:cstheme="minorHAnsi"/>
                <w:i/>
                <w:sz w:val="20"/>
                <w:szCs w:val="20"/>
              </w:rPr>
            </w:pPr>
            <w:r>
              <w:rPr>
                <w:rFonts w:cstheme="minorHAnsi"/>
                <w:i/>
                <w:sz w:val="20"/>
                <w:szCs w:val="20"/>
              </w:rPr>
              <w:t>Description of services provided</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Department of Education and Skills</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share identifiable microdata with the Department of Education and Skills to allow for transitions rate analysis from 2</w:t>
            </w:r>
            <w:r>
              <w:rPr>
                <w:rFonts w:cstheme="minorHAnsi"/>
                <w:sz w:val="20"/>
                <w:szCs w:val="20"/>
                <w:vertAlign w:val="superscript"/>
              </w:rPr>
              <w:t>nd</w:t>
            </w:r>
            <w:r>
              <w:rPr>
                <w:rFonts w:cstheme="minorHAnsi"/>
                <w:sz w:val="20"/>
                <w:szCs w:val="20"/>
              </w:rPr>
              <w:t xml:space="preserve"> level to 3</w:t>
            </w:r>
            <w:r>
              <w:rPr>
                <w:rFonts w:cstheme="minorHAnsi"/>
                <w:sz w:val="20"/>
                <w:szCs w:val="20"/>
                <w:vertAlign w:val="superscript"/>
              </w:rPr>
              <w:t>rd</w:t>
            </w:r>
            <w:r>
              <w:rPr>
                <w:rFonts w:cstheme="minorHAnsi"/>
                <w:sz w:val="20"/>
                <w:szCs w:val="20"/>
              </w:rPr>
              <w:t xml:space="preserve"> level and to produce 3</w:t>
            </w:r>
            <w:r>
              <w:rPr>
                <w:rFonts w:cstheme="minorHAnsi"/>
                <w:sz w:val="20"/>
                <w:szCs w:val="20"/>
                <w:vertAlign w:val="superscript"/>
              </w:rPr>
              <w:t>rd</w:t>
            </w:r>
            <w:r>
              <w:rPr>
                <w:rFonts w:cstheme="minorHAnsi"/>
                <w:sz w:val="20"/>
                <w:szCs w:val="20"/>
              </w:rPr>
              <w:t xml:space="preserve"> level demand projections. </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Central Statistics Office</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share identifiable microdata with the CSO to analyse graduate outcomes and to measure the effectiveness of the higher education system. HEA data is linked to other Government administrative datasets in the CSO.</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SUSI – part of the CDETB (City of Dublin Education and Training Board)</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match SUSI grant application data to HEA student record data using PPSN to verify previous attendance at HEA funded institutions.</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Department of Employment Affairs and Social Protection</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share PPSN, name, address and date of birth data to verify PPSN data with Client Identity Services.</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SOLAS</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may share identifiable microdata with SOLAS to allow for transitions rate analysis from further education to higher education.</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Department of Public Expenditure and Reform</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may share disaggregated course level data with DPER to allow for detailed labour market analysis.</w:t>
            </w:r>
          </w:p>
        </w:tc>
      </w:tr>
      <w:tr w:rsidR="00736013" w:rsidTr="00736013">
        <w:tc>
          <w:tcPr>
            <w:tcW w:w="2041"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External Contractors</w:t>
            </w:r>
          </w:p>
        </w:tc>
        <w:tc>
          <w:tcPr>
            <w:tcW w:w="4394" w:type="dxa"/>
            <w:tcBorders>
              <w:top w:val="single" w:sz="4" w:space="0" w:color="auto"/>
              <w:left w:val="single" w:sz="4" w:space="0" w:color="auto"/>
              <w:bottom w:val="single" w:sz="4" w:space="0" w:color="auto"/>
              <w:right w:val="single" w:sz="4" w:space="0" w:color="auto"/>
            </w:tcBorders>
            <w:hideMark/>
          </w:tcPr>
          <w:p w:rsidR="00736013" w:rsidRDefault="00736013">
            <w:pPr>
              <w:spacing w:before="60" w:after="60"/>
              <w:rPr>
                <w:rFonts w:cstheme="minorHAnsi"/>
                <w:sz w:val="20"/>
                <w:szCs w:val="20"/>
              </w:rPr>
            </w:pPr>
            <w:r>
              <w:rPr>
                <w:rFonts w:cstheme="minorHAnsi"/>
                <w:sz w:val="20"/>
                <w:szCs w:val="20"/>
              </w:rPr>
              <w:t>The HEA, on occasion, contract external bodies to process microdata in order to fulfil statutory functions, e.g. Insight Statistical Consulting to code Equal Access Survey socio-economic data.</w:t>
            </w:r>
          </w:p>
        </w:tc>
      </w:tr>
    </w:tbl>
    <w:p w:rsidR="00736013" w:rsidRDefault="00736013" w:rsidP="00736013">
      <w:pPr>
        <w:rPr>
          <w:rFonts w:asciiTheme="minorHAnsi" w:hAnsiTheme="minorHAnsi"/>
          <w:sz w:val="22"/>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lang w:val="en-US"/>
        </w:rPr>
      </w:pPr>
    </w:p>
    <w:p w:rsidR="00736013" w:rsidRDefault="00736013" w:rsidP="00736013">
      <w:pPr>
        <w:rPr>
          <w:b/>
          <w:lang w:val="en-US"/>
        </w:rPr>
      </w:pPr>
      <w:r>
        <w:rPr>
          <w:b/>
          <w:lang w:val="en-US"/>
        </w:rPr>
        <w:lastRenderedPageBreak/>
        <w:t>Schedule 2</w:t>
      </w:r>
    </w:p>
    <w:p w:rsidR="00736013" w:rsidRPr="00736013" w:rsidRDefault="00736013" w:rsidP="00736013">
      <w:pPr>
        <w:pStyle w:val="Heading1"/>
        <w:rPr>
          <w:rFonts w:ascii="Calibri Light" w:hAnsi="Calibri Light"/>
          <w:lang w:val="en-GB"/>
        </w:rPr>
      </w:pPr>
      <w:r w:rsidRPr="00736013">
        <w:rPr>
          <w:rFonts w:ascii="Calibri Light" w:hAnsi="Calibri Light"/>
          <w:lang w:val="en-GB"/>
        </w:rPr>
        <w:t>List of data items the HEA collect or obtain from higher education institutions</w:t>
      </w:r>
    </w:p>
    <w:p w:rsidR="00736013" w:rsidRDefault="00736013" w:rsidP="00736013">
      <w:pPr>
        <w:rPr>
          <w:lang w:val="en-US"/>
        </w:rPr>
      </w:pPr>
    </w:p>
    <w:p w:rsidR="00736013" w:rsidRDefault="00736013" w:rsidP="00736013">
      <w:r>
        <w:rPr>
          <w:lang w:val="en-US"/>
        </w:rPr>
        <w:t xml:space="preserve">The data </w:t>
      </w:r>
      <w:r>
        <w:t xml:space="preserve">higher education institutions send to the HEA include, </w:t>
      </w:r>
      <w:r>
        <w:rPr>
          <w:lang w:val="en-US"/>
        </w:rPr>
        <w:t xml:space="preserve">student records:  </w:t>
      </w:r>
    </w:p>
    <w:p w:rsidR="00736013" w:rsidRDefault="00736013" w:rsidP="00736013">
      <w:pPr>
        <w:spacing w:after="0" w:line="240" w:lineRule="auto"/>
      </w:pPr>
      <w:r>
        <w:t>Return year</w:t>
      </w:r>
    </w:p>
    <w:p w:rsidR="00736013" w:rsidRDefault="00736013" w:rsidP="00736013">
      <w:pPr>
        <w:spacing w:after="0" w:line="240" w:lineRule="auto"/>
      </w:pPr>
      <w:r>
        <w:t>Institute code</w:t>
      </w:r>
    </w:p>
    <w:p w:rsidR="00736013" w:rsidRDefault="00736013" w:rsidP="00736013">
      <w:pPr>
        <w:spacing w:after="0" w:line="240" w:lineRule="auto"/>
      </w:pPr>
      <w:r>
        <w:t>Academic year</w:t>
      </w:r>
    </w:p>
    <w:p w:rsidR="00736013" w:rsidRDefault="00736013" w:rsidP="00736013">
      <w:pPr>
        <w:spacing w:after="0" w:line="240" w:lineRule="auto"/>
      </w:pPr>
      <w:r>
        <w:t>Programme name</w:t>
      </w:r>
    </w:p>
    <w:p w:rsidR="00736013" w:rsidRDefault="00736013" w:rsidP="00736013">
      <w:pPr>
        <w:spacing w:after="0" w:line="240" w:lineRule="auto"/>
      </w:pPr>
      <w:r>
        <w:t>Programme code</w:t>
      </w:r>
    </w:p>
    <w:p w:rsidR="00736013" w:rsidRDefault="00736013" w:rsidP="00736013">
      <w:pPr>
        <w:spacing w:after="0" w:line="240" w:lineRule="auto"/>
      </w:pPr>
      <w:r>
        <w:t>Programme type</w:t>
      </w:r>
    </w:p>
    <w:p w:rsidR="00736013" w:rsidRDefault="00736013" w:rsidP="00736013">
      <w:pPr>
        <w:spacing w:after="0" w:line="240" w:lineRule="auto"/>
      </w:pPr>
      <w:r>
        <w:t>Anticipated length of programme in years</w:t>
      </w:r>
    </w:p>
    <w:p w:rsidR="00736013" w:rsidRDefault="00736013" w:rsidP="00736013">
      <w:pPr>
        <w:spacing w:after="0" w:line="240" w:lineRule="auto"/>
      </w:pPr>
      <w:r>
        <w:t>Faculty title &amp; code</w:t>
      </w:r>
    </w:p>
    <w:p w:rsidR="00736013" w:rsidRDefault="00736013" w:rsidP="00736013">
      <w:pPr>
        <w:spacing w:after="0" w:line="240" w:lineRule="auto"/>
      </w:pPr>
      <w:r>
        <w:t>NFQ level</w:t>
      </w:r>
    </w:p>
    <w:p w:rsidR="00736013" w:rsidRDefault="00736013" w:rsidP="00736013">
      <w:pPr>
        <w:spacing w:after="0" w:line="240" w:lineRule="auto"/>
      </w:pPr>
      <w:r>
        <w:t>Course name</w:t>
      </w:r>
    </w:p>
    <w:p w:rsidR="00736013" w:rsidRDefault="00736013" w:rsidP="00736013">
      <w:pPr>
        <w:spacing w:after="0" w:line="240" w:lineRule="auto"/>
      </w:pPr>
      <w:r>
        <w:t>Course code</w:t>
      </w:r>
    </w:p>
    <w:p w:rsidR="00736013" w:rsidRDefault="00736013" w:rsidP="00736013">
      <w:pPr>
        <w:spacing w:after="0" w:line="240" w:lineRule="auto"/>
      </w:pPr>
      <w:r>
        <w:t>Subject indicator</w:t>
      </w:r>
    </w:p>
    <w:p w:rsidR="00736013" w:rsidRDefault="00736013" w:rsidP="00736013">
      <w:pPr>
        <w:spacing w:after="0" w:line="240" w:lineRule="auto"/>
      </w:pPr>
      <w:r>
        <w:t>CAO code</w:t>
      </w:r>
    </w:p>
    <w:p w:rsidR="00736013" w:rsidRDefault="00736013" w:rsidP="00736013">
      <w:pPr>
        <w:spacing w:after="0" w:line="240" w:lineRule="auto"/>
      </w:pPr>
      <w:r>
        <w:t>Co-ordinating institutions</w:t>
      </w:r>
    </w:p>
    <w:p w:rsidR="00736013" w:rsidRDefault="00736013" w:rsidP="00736013">
      <w:pPr>
        <w:spacing w:after="0" w:line="240" w:lineRule="auto"/>
      </w:pPr>
      <w:r>
        <w:t>Outreach, off campus marker</w:t>
      </w:r>
    </w:p>
    <w:p w:rsidR="00736013" w:rsidRDefault="00736013" w:rsidP="00736013">
      <w:pPr>
        <w:spacing w:after="0" w:line="240" w:lineRule="auto"/>
      </w:pPr>
      <w:r>
        <w:t>Awarding body</w:t>
      </w:r>
    </w:p>
    <w:p w:rsidR="00736013" w:rsidRDefault="00736013" w:rsidP="00736013">
      <w:pPr>
        <w:spacing w:after="0" w:line="240" w:lineRule="auto"/>
      </w:pPr>
      <w:r>
        <w:t>Funding indicator</w:t>
      </w:r>
    </w:p>
    <w:p w:rsidR="00736013" w:rsidRDefault="00736013" w:rsidP="00736013">
      <w:pPr>
        <w:spacing w:after="0" w:line="240" w:lineRule="auto"/>
      </w:pPr>
      <w:r>
        <w:t>Add-on indicator to mark add-on courses recognising previous credit for entry</w:t>
      </w:r>
    </w:p>
    <w:p w:rsidR="00736013" w:rsidRDefault="00736013" w:rsidP="00736013">
      <w:pPr>
        <w:spacing w:after="0" w:line="240" w:lineRule="auto"/>
      </w:pPr>
      <w:r>
        <w:t>Course completion credits</w:t>
      </w:r>
    </w:p>
    <w:p w:rsidR="00736013" w:rsidRDefault="00736013" w:rsidP="00736013">
      <w:pPr>
        <w:spacing w:after="0" w:line="240" w:lineRule="auto"/>
      </w:pPr>
      <w:r>
        <w:t>Full time credits per year</w:t>
      </w:r>
    </w:p>
    <w:p w:rsidR="00736013" w:rsidRDefault="00736013" w:rsidP="00736013">
      <w:pPr>
        <w:spacing w:after="0" w:line="240" w:lineRule="auto"/>
      </w:pPr>
      <w:r>
        <w:t>Course class indicator</w:t>
      </w:r>
    </w:p>
    <w:p w:rsidR="00736013" w:rsidRDefault="00736013" w:rsidP="00736013">
      <w:pPr>
        <w:spacing w:after="0" w:line="240" w:lineRule="auto"/>
      </w:pPr>
      <w:r>
        <w:t>Teacher training marker</w:t>
      </w:r>
    </w:p>
    <w:p w:rsidR="00736013" w:rsidRDefault="00736013" w:rsidP="00736013">
      <w:pPr>
        <w:spacing w:after="0" w:line="240" w:lineRule="auto"/>
      </w:pPr>
      <w:r>
        <w:t>Student ID</w:t>
      </w:r>
    </w:p>
    <w:p w:rsidR="00736013" w:rsidRDefault="00736013" w:rsidP="00736013">
      <w:pPr>
        <w:spacing w:after="0" w:line="240" w:lineRule="auto"/>
      </w:pPr>
      <w:r>
        <w:t>CAO number</w:t>
      </w:r>
    </w:p>
    <w:p w:rsidR="00736013" w:rsidRDefault="00736013" w:rsidP="00736013">
      <w:pPr>
        <w:spacing w:after="0" w:line="240" w:lineRule="auto"/>
      </w:pPr>
      <w:r>
        <w:t>PPS number</w:t>
      </w:r>
    </w:p>
    <w:p w:rsidR="00736013" w:rsidRDefault="00736013" w:rsidP="00736013">
      <w:pPr>
        <w:spacing w:after="0" w:line="240" w:lineRule="auto"/>
      </w:pPr>
      <w:r>
        <w:t>Enrol status, student or graduate</w:t>
      </w:r>
    </w:p>
    <w:p w:rsidR="00736013" w:rsidRDefault="00736013" w:rsidP="00736013">
      <w:pPr>
        <w:spacing w:after="0" w:line="240" w:lineRule="auto"/>
      </w:pPr>
      <w:r>
        <w:t>Course code</w:t>
      </w:r>
    </w:p>
    <w:p w:rsidR="00736013" w:rsidRDefault="00736013" w:rsidP="00736013">
      <w:pPr>
        <w:spacing w:after="0" w:line="240" w:lineRule="auto"/>
      </w:pPr>
      <w:r>
        <w:t>Course year</w:t>
      </w:r>
    </w:p>
    <w:p w:rsidR="00736013" w:rsidRDefault="00736013" w:rsidP="00736013">
      <w:pPr>
        <w:spacing w:after="0" w:line="240" w:lineRule="auto"/>
      </w:pPr>
      <w:r>
        <w:t>Mode of study</w:t>
      </w:r>
    </w:p>
    <w:p w:rsidR="00736013" w:rsidRDefault="00736013" w:rsidP="00736013">
      <w:pPr>
        <w:spacing w:after="0" w:line="240" w:lineRule="auto"/>
      </w:pPr>
      <w:r>
        <w:t>ISCED code – field of study</w:t>
      </w:r>
    </w:p>
    <w:p w:rsidR="00736013" w:rsidRDefault="00736013" w:rsidP="00736013">
      <w:pPr>
        <w:spacing w:after="0" w:line="240" w:lineRule="auto"/>
      </w:pPr>
      <w:r>
        <w:t>Subject 1</w:t>
      </w:r>
    </w:p>
    <w:p w:rsidR="00736013" w:rsidRDefault="00736013" w:rsidP="00736013">
      <w:pPr>
        <w:spacing w:after="0" w:line="240" w:lineRule="auto"/>
      </w:pPr>
      <w:r>
        <w:t>Subject 2</w:t>
      </w:r>
    </w:p>
    <w:p w:rsidR="00736013" w:rsidRDefault="00736013" w:rsidP="00736013">
      <w:pPr>
        <w:spacing w:after="0" w:line="240" w:lineRule="auto"/>
      </w:pPr>
      <w:r>
        <w:t>Subject 3</w:t>
      </w:r>
    </w:p>
    <w:p w:rsidR="00736013" w:rsidRDefault="00736013" w:rsidP="00736013">
      <w:pPr>
        <w:spacing w:after="0" w:line="240" w:lineRule="auto"/>
      </w:pPr>
      <w:r>
        <w:t>Subject 4</w:t>
      </w:r>
    </w:p>
    <w:p w:rsidR="00736013" w:rsidRDefault="00736013" w:rsidP="00736013">
      <w:pPr>
        <w:spacing w:after="0" w:line="240" w:lineRule="auto"/>
      </w:pPr>
      <w:r>
        <w:t>Non-Standard award code</w:t>
      </w:r>
    </w:p>
    <w:p w:rsidR="00736013" w:rsidRDefault="00736013" w:rsidP="00736013">
      <w:pPr>
        <w:spacing w:after="0" w:line="240" w:lineRule="auto"/>
      </w:pPr>
      <w:r>
        <w:t>Grade for award</w:t>
      </w:r>
    </w:p>
    <w:p w:rsidR="00736013" w:rsidRDefault="00736013" w:rsidP="00736013">
      <w:pPr>
        <w:spacing w:after="0" w:line="240" w:lineRule="auto"/>
      </w:pPr>
      <w:r>
        <w:lastRenderedPageBreak/>
        <w:t>PhD structure indicator</w:t>
      </w:r>
    </w:p>
    <w:p w:rsidR="00736013" w:rsidRDefault="00736013" w:rsidP="00736013">
      <w:pPr>
        <w:spacing w:after="0" w:line="240" w:lineRule="auto"/>
      </w:pPr>
      <w:r>
        <w:t>Student code to indicate type of student, e.g. new entrant</w:t>
      </w:r>
    </w:p>
    <w:p w:rsidR="00736013" w:rsidRDefault="00736013" w:rsidP="00736013">
      <w:pPr>
        <w:spacing w:after="0" w:line="240" w:lineRule="auto"/>
      </w:pPr>
      <w:r>
        <w:t>Non-Standard attendance tag</w:t>
      </w:r>
    </w:p>
    <w:p w:rsidR="00736013" w:rsidRDefault="00736013" w:rsidP="00736013">
      <w:pPr>
        <w:spacing w:after="0" w:line="240" w:lineRule="auto"/>
      </w:pPr>
      <w:r>
        <w:t>Exchange indicator</w:t>
      </w:r>
    </w:p>
    <w:p w:rsidR="00736013" w:rsidRDefault="00736013" w:rsidP="00736013">
      <w:pPr>
        <w:spacing w:after="0" w:line="240" w:lineRule="auto"/>
      </w:pPr>
      <w:r>
        <w:t>Gender</w:t>
      </w:r>
    </w:p>
    <w:p w:rsidR="00736013" w:rsidRDefault="00736013" w:rsidP="00736013">
      <w:pPr>
        <w:spacing w:after="0" w:line="240" w:lineRule="auto"/>
      </w:pPr>
      <w:r>
        <w:t>Date of birth</w:t>
      </w:r>
    </w:p>
    <w:p w:rsidR="00736013" w:rsidRDefault="00736013" w:rsidP="00736013">
      <w:pPr>
        <w:spacing w:after="0" w:line="240" w:lineRule="auto"/>
      </w:pPr>
      <w:r>
        <w:t xml:space="preserve">First name </w:t>
      </w:r>
    </w:p>
    <w:p w:rsidR="00736013" w:rsidRDefault="00736013" w:rsidP="00736013">
      <w:pPr>
        <w:spacing w:after="0" w:line="240" w:lineRule="auto"/>
      </w:pPr>
      <w:r>
        <w:t>Surname</w:t>
      </w:r>
    </w:p>
    <w:p w:rsidR="00736013" w:rsidRDefault="00736013" w:rsidP="00736013">
      <w:pPr>
        <w:spacing w:after="0" w:line="240" w:lineRule="auto"/>
      </w:pPr>
      <w:r>
        <w:t>Domiciliary of origin</w:t>
      </w:r>
    </w:p>
    <w:p w:rsidR="00736013" w:rsidRDefault="00736013" w:rsidP="00736013">
      <w:pPr>
        <w:spacing w:after="0" w:line="240" w:lineRule="auto"/>
      </w:pPr>
      <w:r>
        <w:t>Address 1</w:t>
      </w:r>
    </w:p>
    <w:p w:rsidR="00736013" w:rsidRDefault="00736013" w:rsidP="00736013">
      <w:pPr>
        <w:spacing w:after="0" w:line="240" w:lineRule="auto"/>
      </w:pPr>
      <w:r>
        <w:t>Address 2</w:t>
      </w:r>
    </w:p>
    <w:p w:rsidR="00736013" w:rsidRDefault="00736013" w:rsidP="00736013">
      <w:pPr>
        <w:spacing w:after="0" w:line="240" w:lineRule="auto"/>
      </w:pPr>
      <w:r>
        <w:t>Address 3</w:t>
      </w:r>
    </w:p>
    <w:p w:rsidR="00736013" w:rsidRDefault="00736013" w:rsidP="00736013">
      <w:pPr>
        <w:spacing w:after="0" w:line="240" w:lineRule="auto"/>
      </w:pPr>
      <w:r>
        <w:t>Address 4</w:t>
      </w:r>
    </w:p>
    <w:p w:rsidR="00736013" w:rsidRDefault="00736013" w:rsidP="00736013">
      <w:pPr>
        <w:spacing w:after="0" w:line="240" w:lineRule="auto"/>
      </w:pPr>
      <w:r>
        <w:t>Address 5</w:t>
      </w:r>
    </w:p>
    <w:p w:rsidR="00736013" w:rsidRDefault="00736013" w:rsidP="00736013">
      <w:pPr>
        <w:spacing w:after="0" w:line="240" w:lineRule="auto"/>
      </w:pPr>
      <w:r>
        <w:t>County</w:t>
      </w:r>
    </w:p>
    <w:p w:rsidR="00736013" w:rsidRDefault="00736013" w:rsidP="00736013">
      <w:pPr>
        <w:spacing w:after="0" w:line="240" w:lineRule="auto"/>
      </w:pPr>
      <w:r>
        <w:t>Eircode</w:t>
      </w:r>
    </w:p>
    <w:p w:rsidR="00736013" w:rsidRDefault="00736013" w:rsidP="00736013">
      <w:pPr>
        <w:spacing w:after="0" w:line="240" w:lineRule="auto"/>
      </w:pPr>
      <w:r>
        <w:t>Postal code for Dublin students</w:t>
      </w:r>
    </w:p>
    <w:p w:rsidR="00736013" w:rsidRDefault="00736013" w:rsidP="00736013">
      <w:pPr>
        <w:spacing w:after="0" w:line="240" w:lineRule="auto"/>
      </w:pPr>
      <w:r>
        <w:t>Nationality</w:t>
      </w:r>
    </w:p>
    <w:p w:rsidR="00736013" w:rsidRDefault="00736013" w:rsidP="00736013">
      <w:pPr>
        <w:spacing w:after="0" w:line="240" w:lineRule="auto"/>
      </w:pPr>
      <w:r>
        <w:t>Non-EU fee indicator</w:t>
      </w:r>
    </w:p>
    <w:p w:rsidR="00736013" w:rsidRDefault="00736013" w:rsidP="00736013">
      <w:pPr>
        <w:spacing w:after="0" w:line="240" w:lineRule="auto"/>
      </w:pPr>
      <w:r>
        <w:t>Residence type during term-time</w:t>
      </w:r>
    </w:p>
    <w:p w:rsidR="00736013" w:rsidRDefault="00736013" w:rsidP="00736013">
      <w:pPr>
        <w:spacing w:after="0" w:line="240" w:lineRule="auto"/>
      </w:pPr>
      <w:r>
        <w:t>Fees – free fees indicator</w:t>
      </w:r>
    </w:p>
    <w:p w:rsidR="00736013" w:rsidRDefault="00736013" w:rsidP="00736013">
      <w:pPr>
        <w:spacing w:after="0" w:line="240" w:lineRule="auto"/>
      </w:pPr>
      <w:r>
        <w:t>DES grant indictor of grant status</w:t>
      </w:r>
    </w:p>
    <w:p w:rsidR="00736013" w:rsidRDefault="00736013" w:rsidP="00736013">
      <w:pPr>
        <w:spacing w:after="0" w:line="240" w:lineRule="auto"/>
      </w:pPr>
      <w:r>
        <w:t>SUSI grant code as per SUSI file</w:t>
      </w:r>
    </w:p>
    <w:p w:rsidR="00736013" w:rsidRDefault="00736013" w:rsidP="00736013">
      <w:pPr>
        <w:spacing w:after="0" w:line="240" w:lineRule="auto"/>
      </w:pPr>
      <w:r>
        <w:t>Post-Primary school number</w:t>
      </w:r>
    </w:p>
    <w:p w:rsidR="00736013" w:rsidRDefault="00736013" w:rsidP="00736013">
      <w:pPr>
        <w:spacing w:after="0" w:line="240" w:lineRule="auto"/>
      </w:pPr>
      <w:r>
        <w:t>Leaving Cert points</w:t>
      </w:r>
    </w:p>
    <w:p w:rsidR="00736013" w:rsidRDefault="00736013" w:rsidP="00736013">
      <w:pPr>
        <w:spacing w:after="0" w:line="240" w:lineRule="auto"/>
      </w:pPr>
      <w:r>
        <w:t>Leaving Cert year</w:t>
      </w:r>
    </w:p>
    <w:p w:rsidR="00736013" w:rsidRDefault="00736013" w:rsidP="00736013">
      <w:pPr>
        <w:spacing w:after="0" w:line="240" w:lineRule="auto"/>
      </w:pPr>
      <w:r>
        <w:t>Leaving Cert exam results</w:t>
      </w:r>
    </w:p>
    <w:p w:rsidR="00736013" w:rsidRDefault="00736013" w:rsidP="00736013">
      <w:pPr>
        <w:spacing w:after="0" w:line="240" w:lineRule="auto"/>
      </w:pPr>
      <w:r>
        <w:t>Last Institution attended</w:t>
      </w:r>
    </w:p>
    <w:p w:rsidR="00736013" w:rsidRDefault="00736013" w:rsidP="00736013">
      <w:pPr>
        <w:spacing w:after="0" w:line="240" w:lineRule="auto"/>
      </w:pPr>
      <w:r>
        <w:t>Year left last institution</w:t>
      </w:r>
    </w:p>
    <w:p w:rsidR="00736013" w:rsidRDefault="00736013" w:rsidP="00736013">
      <w:pPr>
        <w:spacing w:after="0" w:line="240" w:lineRule="auto"/>
      </w:pPr>
      <w:r>
        <w:t>Highest qualification</w:t>
      </w:r>
    </w:p>
    <w:p w:rsidR="00736013" w:rsidRDefault="00736013" w:rsidP="00736013">
      <w:pPr>
        <w:spacing w:after="0" w:line="240" w:lineRule="auto"/>
      </w:pPr>
      <w:r>
        <w:t>Accumulated credits</w:t>
      </w:r>
    </w:p>
    <w:p w:rsidR="00736013" w:rsidRDefault="00736013" w:rsidP="00736013">
      <w:pPr>
        <w:spacing w:after="0" w:line="240" w:lineRule="auto"/>
      </w:pPr>
      <w:r>
        <w:t>Current year credits</w:t>
      </w:r>
    </w:p>
    <w:p w:rsidR="00736013" w:rsidRDefault="00736013" w:rsidP="00736013">
      <w:pPr>
        <w:spacing w:after="0" w:line="240" w:lineRule="auto"/>
      </w:pPr>
      <w:r>
        <w:t>Up-skilling initiative indicator, e.g. Springboard</w:t>
      </w:r>
    </w:p>
    <w:p w:rsidR="00736013" w:rsidRDefault="00736013" w:rsidP="00736013">
      <w:pPr>
        <w:spacing w:after="0" w:line="240" w:lineRule="auto"/>
      </w:pPr>
      <w:r>
        <w:t>Fund indicator for students funded through the Fund for Students with a Disability</w:t>
      </w:r>
    </w:p>
    <w:p w:rsidR="00736013" w:rsidRDefault="00736013" w:rsidP="00736013">
      <w:pPr>
        <w:spacing w:after="0" w:line="240" w:lineRule="auto"/>
      </w:pPr>
      <w:r>
        <w:t>Basis of entry to course</w:t>
      </w:r>
    </w:p>
    <w:p w:rsidR="00736013" w:rsidRDefault="00736013" w:rsidP="00736013">
      <w:pPr>
        <w:rPr>
          <w:sz w:val="4"/>
          <w:szCs w:val="4"/>
          <w:lang w:val="en-US"/>
        </w:rPr>
      </w:pPr>
    </w:p>
    <w:p w:rsidR="00736013" w:rsidRDefault="00736013" w:rsidP="00736013">
      <w:pPr>
        <w:spacing w:after="0" w:line="240" w:lineRule="auto"/>
        <w:rPr>
          <w:sz w:val="22"/>
        </w:rPr>
      </w:pPr>
      <w:bookmarkStart w:id="0" w:name="_Hlk490832668"/>
      <w:r>
        <w:t>These data form part of the HEA Student Record System (SRS) database.</w:t>
      </w:r>
    </w:p>
    <w:bookmarkEnd w:id="0"/>
    <w:p w:rsidR="00736013" w:rsidRDefault="00736013" w:rsidP="00736013">
      <w:pPr>
        <w:spacing w:after="0" w:line="240" w:lineRule="auto"/>
      </w:pPr>
    </w:p>
    <w:p w:rsidR="00736013" w:rsidRPr="00E70800" w:rsidRDefault="00736013" w:rsidP="00736013">
      <w:pPr>
        <w:pStyle w:val="Heading2"/>
        <w:rPr>
          <w:rFonts w:asciiTheme="minorHAnsi" w:hAnsiTheme="minorHAnsi" w:cstheme="minorHAnsi"/>
        </w:rPr>
      </w:pPr>
      <w:r w:rsidRPr="00E70800">
        <w:rPr>
          <w:rFonts w:asciiTheme="minorHAnsi" w:hAnsiTheme="minorHAnsi" w:cstheme="minorHAnsi"/>
        </w:rPr>
        <w:t>Equal Access Survey:</w:t>
      </w:r>
    </w:p>
    <w:p w:rsidR="00736013" w:rsidRDefault="00736013" w:rsidP="00736013">
      <w:pPr>
        <w:jc w:val="both"/>
        <w:rPr>
          <w:szCs w:val="24"/>
        </w:rPr>
      </w:pPr>
      <w:r>
        <w:rPr>
          <w:szCs w:val="24"/>
        </w:rPr>
        <w:t>Data collected as part of the Equal Access Survey is also returned to the HEA, these data are anonymised. Data sent to the HEA as part of this process include:</w:t>
      </w:r>
    </w:p>
    <w:p w:rsidR="00736013" w:rsidRDefault="00736013" w:rsidP="00736013">
      <w:pPr>
        <w:spacing w:after="0" w:line="240" w:lineRule="auto"/>
      </w:pPr>
      <w:r>
        <w:t>Blind or deaf indicator</w:t>
      </w:r>
    </w:p>
    <w:p w:rsidR="00736013" w:rsidRDefault="00736013" w:rsidP="00736013">
      <w:pPr>
        <w:spacing w:after="0" w:line="240" w:lineRule="auto"/>
      </w:pPr>
      <w:r>
        <w:t>Physical disability indicator</w:t>
      </w:r>
    </w:p>
    <w:p w:rsidR="00736013" w:rsidRDefault="00736013" w:rsidP="00736013">
      <w:pPr>
        <w:spacing w:after="0" w:line="240" w:lineRule="auto"/>
      </w:pPr>
      <w:r>
        <w:t>Learning disability indicator</w:t>
      </w:r>
    </w:p>
    <w:p w:rsidR="00736013" w:rsidRDefault="00736013" w:rsidP="00736013">
      <w:pPr>
        <w:spacing w:after="0" w:line="240" w:lineRule="auto"/>
      </w:pPr>
      <w:r>
        <w:lastRenderedPageBreak/>
        <w:t>Psychological, emotional, or mental health indicator</w:t>
      </w:r>
    </w:p>
    <w:p w:rsidR="00736013" w:rsidRDefault="00736013" w:rsidP="00736013">
      <w:pPr>
        <w:spacing w:after="0" w:line="240" w:lineRule="auto"/>
      </w:pPr>
      <w:r>
        <w:t>Other condition indicator</w:t>
      </w:r>
    </w:p>
    <w:p w:rsidR="00736013" w:rsidRDefault="00736013" w:rsidP="00736013">
      <w:pPr>
        <w:spacing w:after="0" w:line="240" w:lineRule="auto"/>
      </w:pPr>
      <w:r>
        <w:t>Support requirement</w:t>
      </w:r>
    </w:p>
    <w:p w:rsidR="00736013" w:rsidRDefault="00736013" w:rsidP="00736013">
      <w:pPr>
        <w:spacing w:after="0" w:line="240" w:lineRule="auto"/>
        <w:jc w:val="both"/>
        <w:rPr>
          <w:szCs w:val="24"/>
        </w:rPr>
      </w:pPr>
      <w:r>
        <w:rPr>
          <w:szCs w:val="24"/>
        </w:rPr>
        <w:t>Father Principal Economic Status</w:t>
      </w:r>
    </w:p>
    <w:p w:rsidR="00736013" w:rsidRDefault="00736013" w:rsidP="00736013">
      <w:pPr>
        <w:spacing w:after="0" w:line="240" w:lineRule="auto"/>
        <w:jc w:val="both"/>
        <w:rPr>
          <w:szCs w:val="24"/>
        </w:rPr>
      </w:pPr>
      <w:r>
        <w:rPr>
          <w:szCs w:val="24"/>
        </w:rPr>
        <w:t>Father Occupation</w:t>
      </w:r>
    </w:p>
    <w:p w:rsidR="00736013" w:rsidRDefault="00736013" w:rsidP="00736013">
      <w:pPr>
        <w:spacing w:after="0" w:line="240" w:lineRule="auto"/>
        <w:jc w:val="both"/>
        <w:rPr>
          <w:szCs w:val="24"/>
        </w:rPr>
      </w:pPr>
      <w:r>
        <w:rPr>
          <w:szCs w:val="24"/>
        </w:rPr>
        <w:t>Father Employment Status</w:t>
      </w:r>
    </w:p>
    <w:p w:rsidR="00736013" w:rsidRDefault="00736013" w:rsidP="00736013">
      <w:pPr>
        <w:spacing w:after="0" w:line="240" w:lineRule="auto"/>
        <w:jc w:val="both"/>
        <w:rPr>
          <w:szCs w:val="24"/>
        </w:rPr>
      </w:pPr>
      <w:r>
        <w:rPr>
          <w:szCs w:val="24"/>
        </w:rPr>
        <w:t>Father Socio-economic Group</w:t>
      </w:r>
    </w:p>
    <w:p w:rsidR="00736013" w:rsidRDefault="00736013" w:rsidP="00736013">
      <w:pPr>
        <w:spacing w:after="0" w:line="240" w:lineRule="auto"/>
        <w:jc w:val="both"/>
        <w:rPr>
          <w:szCs w:val="24"/>
        </w:rPr>
      </w:pPr>
      <w:r>
        <w:rPr>
          <w:szCs w:val="24"/>
        </w:rPr>
        <w:t>Father Socio-economic Class</w:t>
      </w:r>
    </w:p>
    <w:p w:rsidR="00736013" w:rsidRDefault="00736013" w:rsidP="00736013">
      <w:pPr>
        <w:spacing w:after="0" w:line="240" w:lineRule="auto"/>
        <w:jc w:val="both"/>
        <w:rPr>
          <w:szCs w:val="24"/>
        </w:rPr>
      </w:pPr>
      <w:r>
        <w:rPr>
          <w:szCs w:val="24"/>
        </w:rPr>
        <w:t>Mother Principal Economic Status</w:t>
      </w:r>
    </w:p>
    <w:p w:rsidR="00736013" w:rsidRDefault="00736013" w:rsidP="00736013">
      <w:pPr>
        <w:spacing w:after="0" w:line="240" w:lineRule="auto"/>
        <w:jc w:val="both"/>
        <w:rPr>
          <w:szCs w:val="24"/>
        </w:rPr>
      </w:pPr>
      <w:r>
        <w:rPr>
          <w:szCs w:val="24"/>
        </w:rPr>
        <w:t>Mother Occupation</w:t>
      </w:r>
    </w:p>
    <w:p w:rsidR="00736013" w:rsidRDefault="00736013" w:rsidP="00736013">
      <w:pPr>
        <w:spacing w:after="0" w:line="240" w:lineRule="auto"/>
        <w:jc w:val="both"/>
        <w:rPr>
          <w:szCs w:val="24"/>
        </w:rPr>
      </w:pPr>
      <w:r>
        <w:rPr>
          <w:szCs w:val="24"/>
        </w:rPr>
        <w:t>Mother Employment Status</w:t>
      </w:r>
    </w:p>
    <w:p w:rsidR="00736013" w:rsidRDefault="00736013" w:rsidP="00736013">
      <w:pPr>
        <w:spacing w:after="0" w:line="240" w:lineRule="auto"/>
        <w:jc w:val="both"/>
        <w:rPr>
          <w:szCs w:val="24"/>
        </w:rPr>
      </w:pPr>
      <w:r>
        <w:rPr>
          <w:szCs w:val="24"/>
        </w:rPr>
        <w:t>Mother Socio-economic Group</w:t>
      </w:r>
    </w:p>
    <w:p w:rsidR="00736013" w:rsidRDefault="00736013" w:rsidP="00736013">
      <w:pPr>
        <w:spacing w:after="0" w:line="240" w:lineRule="auto"/>
        <w:jc w:val="both"/>
        <w:rPr>
          <w:szCs w:val="24"/>
        </w:rPr>
      </w:pPr>
      <w:r>
        <w:rPr>
          <w:szCs w:val="24"/>
        </w:rPr>
        <w:t>Mother Socio-economic Class</w:t>
      </w:r>
    </w:p>
    <w:p w:rsidR="00736013" w:rsidRDefault="00736013" w:rsidP="00736013">
      <w:pPr>
        <w:spacing w:after="0" w:line="240" w:lineRule="auto"/>
      </w:pPr>
      <w:r>
        <w:t>Ethnic culture</w:t>
      </w:r>
    </w:p>
    <w:p w:rsidR="00DE57C1" w:rsidRDefault="00DE57C1" w:rsidP="00736013">
      <w:pPr>
        <w:spacing w:after="0" w:line="240" w:lineRule="auto"/>
      </w:pPr>
      <w:r>
        <w:t>Farm size</w:t>
      </w:r>
    </w:p>
    <w:p w:rsidR="00E70800" w:rsidRDefault="00E70800" w:rsidP="00736013">
      <w:pPr>
        <w:spacing w:after="0" w:line="240" w:lineRule="auto"/>
      </w:pPr>
    </w:p>
    <w:p w:rsidR="00736013" w:rsidRPr="00E70800" w:rsidRDefault="00736013" w:rsidP="00736013">
      <w:pPr>
        <w:pStyle w:val="Heading2"/>
        <w:rPr>
          <w:rFonts w:asciiTheme="minorHAnsi" w:hAnsiTheme="minorHAnsi" w:cstheme="minorHAnsi"/>
          <w:lang w:val="en-US"/>
        </w:rPr>
      </w:pPr>
      <w:r w:rsidRPr="00E70800">
        <w:rPr>
          <w:rFonts w:asciiTheme="minorHAnsi" w:hAnsiTheme="minorHAnsi" w:cstheme="minorHAnsi"/>
          <w:lang w:val="en-US"/>
        </w:rPr>
        <w:t>Graduate Outcomes Survey:</w:t>
      </w:r>
    </w:p>
    <w:p w:rsidR="00736013" w:rsidRDefault="00736013" w:rsidP="00736013">
      <w:r>
        <w:t>The following Graduate Outcomes Survey data will be sent to the HEA:</w:t>
      </w:r>
    </w:p>
    <w:p w:rsidR="00736013" w:rsidRDefault="00736013" w:rsidP="00736013">
      <w:pPr>
        <w:spacing w:after="0"/>
        <w:rPr>
          <w:rFonts w:cs="Calibri"/>
        </w:rPr>
      </w:pPr>
      <w:r>
        <w:rPr>
          <w:rFonts w:cs="Calibri"/>
        </w:rPr>
        <w:t>PPS number</w:t>
      </w:r>
    </w:p>
    <w:p w:rsidR="00736013" w:rsidRDefault="00736013" w:rsidP="00736013">
      <w:pPr>
        <w:spacing w:after="0"/>
        <w:rPr>
          <w:rFonts w:cs="Calibri"/>
        </w:rPr>
      </w:pPr>
      <w:r>
        <w:rPr>
          <w:rFonts w:cs="Calibri"/>
        </w:rPr>
        <w:t>Student ID</w:t>
      </w:r>
    </w:p>
    <w:p w:rsidR="00736013" w:rsidRDefault="00736013" w:rsidP="00736013">
      <w:pPr>
        <w:spacing w:after="0"/>
        <w:rPr>
          <w:rFonts w:cs="Calibri"/>
        </w:rPr>
      </w:pPr>
      <w:r>
        <w:rPr>
          <w:rFonts w:cs="Calibri"/>
        </w:rPr>
        <w:t>Date of birth</w:t>
      </w:r>
    </w:p>
    <w:p w:rsidR="00736013" w:rsidRDefault="00736013" w:rsidP="00736013">
      <w:pPr>
        <w:spacing w:after="0"/>
        <w:rPr>
          <w:rFonts w:cs="Calibri"/>
        </w:rPr>
      </w:pPr>
      <w:r>
        <w:rPr>
          <w:rFonts w:cs="Calibri"/>
        </w:rPr>
        <w:t>County code</w:t>
      </w:r>
    </w:p>
    <w:p w:rsidR="00736013" w:rsidRDefault="00736013" w:rsidP="00736013">
      <w:pPr>
        <w:spacing w:after="0"/>
        <w:rPr>
          <w:rFonts w:cs="Calibri"/>
        </w:rPr>
      </w:pPr>
      <w:r>
        <w:rPr>
          <w:rFonts w:cs="Calibri"/>
        </w:rPr>
        <w:t>Domiciliary of origin code</w:t>
      </w:r>
    </w:p>
    <w:p w:rsidR="00736013" w:rsidRDefault="00736013" w:rsidP="00736013">
      <w:pPr>
        <w:spacing w:after="0"/>
        <w:rPr>
          <w:rFonts w:cs="Calibri"/>
        </w:rPr>
      </w:pPr>
      <w:r>
        <w:rPr>
          <w:rFonts w:cs="Calibri"/>
        </w:rPr>
        <w:t>Gender</w:t>
      </w:r>
    </w:p>
    <w:p w:rsidR="00736013" w:rsidRDefault="00736013" w:rsidP="00736013">
      <w:pPr>
        <w:spacing w:after="0"/>
        <w:rPr>
          <w:rFonts w:cs="Calibri"/>
        </w:rPr>
      </w:pPr>
      <w:r>
        <w:rPr>
          <w:rFonts w:cs="Calibri"/>
        </w:rPr>
        <w:t>Mode of study</w:t>
      </w:r>
    </w:p>
    <w:p w:rsidR="00736013" w:rsidRDefault="00736013" w:rsidP="00736013">
      <w:pPr>
        <w:spacing w:after="0"/>
        <w:rPr>
          <w:rFonts w:cs="Calibri"/>
        </w:rPr>
      </w:pPr>
      <w:r>
        <w:rPr>
          <w:rFonts w:cs="Calibri"/>
        </w:rPr>
        <w:t>Grade of award</w:t>
      </w:r>
    </w:p>
    <w:p w:rsidR="00736013" w:rsidRDefault="00736013" w:rsidP="00736013">
      <w:pPr>
        <w:spacing w:after="0"/>
        <w:rPr>
          <w:rFonts w:cs="Calibri"/>
        </w:rPr>
      </w:pPr>
      <w:r>
        <w:rPr>
          <w:rFonts w:cs="Calibri"/>
        </w:rPr>
        <w:t>Institute name</w:t>
      </w:r>
    </w:p>
    <w:p w:rsidR="00DE57C1" w:rsidRDefault="00132F3E" w:rsidP="00736013">
      <w:pPr>
        <w:spacing w:after="0"/>
        <w:rPr>
          <w:rFonts w:cs="Calibri"/>
        </w:rPr>
      </w:pPr>
      <w:r>
        <w:rPr>
          <w:rFonts w:cs="Calibri"/>
        </w:rPr>
        <w:t>Course c</w:t>
      </w:r>
      <w:bookmarkStart w:id="1" w:name="_GoBack"/>
      <w:bookmarkEnd w:id="1"/>
      <w:r w:rsidR="00DE57C1">
        <w:rPr>
          <w:rFonts w:cs="Calibri"/>
        </w:rPr>
        <w:t>ode</w:t>
      </w:r>
    </w:p>
    <w:p w:rsidR="00736013" w:rsidRDefault="00736013" w:rsidP="00736013">
      <w:pPr>
        <w:spacing w:after="0"/>
        <w:rPr>
          <w:rFonts w:cs="Calibri"/>
        </w:rPr>
      </w:pPr>
      <w:r>
        <w:rPr>
          <w:rFonts w:cs="Calibri"/>
        </w:rPr>
        <w:t>Course name</w:t>
      </w:r>
    </w:p>
    <w:p w:rsidR="00736013" w:rsidRDefault="00736013" w:rsidP="00736013">
      <w:pPr>
        <w:spacing w:after="0"/>
        <w:rPr>
          <w:rFonts w:cs="Calibri"/>
        </w:rPr>
      </w:pPr>
      <w:r>
        <w:rPr>
          <w:rFonts w:cs="Calibri"/>
        </w:rPr>
        <w:t>ISCED field of study information</w:t>
      </w:r>
    </w:p>
    <w:p w:rsidR="00736013" w:rsidRDefault="00736013" w:rsidP="00736013">
      <w:pPr>
        <w:spacing w:after="0"/>
        <w:rPr>
          <w:rFonts w:cs="Calibri"/>
        </w:rPr>
      </w:pPr>
      <w:r>
        <w:rPr>
          <w:rFonts w:cs="Calibri"/>
        </w:rPr>
        <w:t>NFQ Level</w:t>
      </w:r>
    </w:p>
    <w:p w:rsidR="00736013" w:rsidRDefault="00736013" w:rsidP="00736013">
      <w:pPr>
        <w:spacing w:after="0"/>
        <w:rPr>
          <w:rFonts w:cs="Calibri"/>
        </w:rPr>
      </w:pPr>
      <w:r>
        <w:rPr>
          <w:rFonts w:cs="Calibri"/>
        </w:rPr>
        <w:t>Programme type code</w:t>
      </w:r>
    </w:p>
    <w:p w:rsidR="00736013" w:rsidRDefault="00736013" w:rsidP="00736013">
      <w:pPr>
        <w:spacing w:after="0"/>
        <w:rPr>
          <w:rFonts w:cs="Calibri"/>
        </w:rPr>
      </w:pPr>
      <w:r>
        <w:rPr>
          <w:rFonts w:cs="Calibri"/>
        </w:rPr>
        <w:t>Year of graduation</w:t>
      </w:r>
    </w:p>
    <w:p w:rsidR="00736013" w:rsidRDefault="00736013" w:rsidP="00736013">
      <w:pPr>
        <w:spacing w:after="0"/>
        <w:rPr>
          <w:rFonts w:cs="Calibri"/>
        </w:rPr>
      </w:pPr>
      <w:r>
        <w:rPr>
          <w:rFonts w:cs="Calibri"/>
        </w:rPr>
        <w:t>Return year</w:t>
      </w:r>
    </w:p>
    <w:p w:rsidR="00736013" w:rsidRDefault="00736013" w:rsidP="00736013">
      <w:pPr>
        <w:spacing w:after="0"/>
        <w:rPr>
          <w:rFonts w:cs="Calibri"/>
        </w:rPr>
      </w:pPr>
      <w:r>
        <w:rPr>
          <w:rFonts w:cs="Calibri"/>
        </w:rPr>
        <w:t>Response, yes or no</w:t>
      </w:r>
    </w:p>
    <w:p w:rsidR="00736013" w:rsidRDefault="00736013" w:rsidP="00736013">
      <w:pPr>
        <w:spacing w:after="0"/>
        <w:rPr>
          <w:rFonts w:cs="Calibri"/>
        </w:rPr>
      </w:pPr>
      <w:r>
        <w:rPr>
          <w:rFonts w:cs="Calibri"/>
        </w:rPr>
        <w:t>Principal economic status – main</w:t>
      </w:r>
    </w:p>
    <w:p w:rsidR="00736013" w:rsidRDefault="00736013" w:rsidP="00736013">
      <w:pPr>
        <w:spacing w:after="0"/>
        <w:rPr>
          <w:rFonts w:cs="Calibri"/>
        </w:rPr>
      </w:pPr>
      <w:r>
        <w:rPr>
          <w:rFonts w:cs="Calibri"/>
        </w:rPr>
        <w:t>Principal economic status – full</w:t>
      </w:r>
    </w:p>
    <w:p w:rsidR="00736013" w:rsidRDefault="00736013" w:rsidP="00736013">
      <w:pPr>
        <w:spacing w:after="0"/>
        <w:rPr>
          <w:rFonts w:cs="Calibri"/>
        </w:rPr>
      </w:pPr>
      <w:r>
        <w:rPr>
          <w:rFonts w:cs="Calibri"/>
        </w:rPr>
        <w:t>Job title</w:t>
      </w:r>
    </w:p>
    <w:p w:rsidR="00736013" w:rsidRDefault="00736013" w:rsidP="00736013">
      <w:pPr>
        <w:spacing w:after="0"/>
        <w:rPr>
          <w:rFonts w:cs="Calibri"/>
        </w:rPr>
      </w:pPr>
      <w:r>
        <w:rPr>
          <w:rFonts w:cs="Calibri"/>
        </w:rPr>
        <w:t>Occupation (broad)</w:t>
      </w:r>
    </w:p>
    <w:p w:rsidR="00736013" w:rsidRDefault="00736013" w:rsidP="00736013">
      <w:pPr>
        <w:spacing w:after="0"/>
        <w:rPr>
          <w:rFonts w:cs="Calibri"/>
        </w:rPr>
      </w:pPr>
      <w:r>
        <w:rPr>
          <w:rFonts w:cs="Calibri"/>
        </w:rPr>
        <w:t>Organisation</w:t>
      </w:r>
    </w:p>
    <w:p w:rsidR="00736013" w:rsidRDefault="00736013" w:rsidP="00736013">
      <w:pPr>
        <w:spacing w:after="0"/>
        <w:rPr>
          <w:rFonts w:cs="Calibri"/>
        </w:rPr>
      </w:pPr>
      <w:r>
        <w:rPr>
          <w:rFonts w:cs="Calibri"/>
        </w:rPr>
        <w:lastRenderedPageBreak/>
        <w:t>Employment (where)</w:t>
      </w:r>
    </w:p>
    <w:p w:rsidR="00736013" w:rsidRDefault="00736013" w:rsidP="00736013">
      <w:pPr>
        <w:spacing w:after="0"/>
        <w:rPr>
          <w:rFonts w:cs="Calibri"/>
        </w:rPr>
      </w:pPr>
      <w:r>
        <w:rPr>
          <w:rFonts w:cs="Calibri"/>
        </w:rPr>
        <w:t>Employment Ireland</w:t>
      </w:r>
    </w:p>
    <w:p w:rsidR="00736013" w:rsidRDefault="00736013" w:rsidP="00736013">
      <w:pPr>
        <w:spacing w:after="0"/>
        <w:rPr>
          <w:rFonts w:cs="Calibri"/>
        </w:rPr>
      </w:pPr>
      <w:r>
        <w:rPr>
          <w:rFonts w:cs="Calibri"/>
        </w:rPr>
        <w:t>Employment overseas</w:t>
      </w:r>
    </w:p>
    <w:p w:rsidR="00736013" w:rsidRDefault="00736013" w:rsidP="00736013">
      <w:pPr>
        <w:spacing w:after="0"/>
        <w:rPr>
          <w:rFonts w:cs="Calibri"/>
        </w:rPr>
      </w:pPr>
      <w:r>
        <w:rPr>
          <w:rFonts w:cs="Calibri"/>
        </w:rPr>
        <w:t>Sector (broad)</w:t>
      </w:r>
    </w:p>
    <w:p w:rsidR="00736013" w:rsidRDefault="00736013" w:rsidP="00736013">
      <w:pPr>
        <w:spacing w:after="0"/>
        <w:rPr>
          <w:rFonts w:cs="Calibri"/>
        </w:rPr>
      </w:pPr>
      <w:r>
        <w:rPr>
          <w:rFonts w:cs="Calibri"/>
        </w:rPr>
        <w:t>Employment type</w:t>
      </w:r>
    </w:p>
    <w:p w:rsidR="00736013" w:rsidRDefault="00736013" w:rsidP="00736013">
      <w:pPr>
        <w:spacing w:after="0"/>
        <w:rPr>
          <w:rFonts w:cs="Calibri"/>
        </w:rPr>
      </w:pPr>
      <w:r>
        <w:rPr>
          <w:rFonts w:cs="Calibri"/>
        </w:rPr>
        <w:t>Contract type</w:t>
      </w:r>
    </w:p>
    <w:p w:rsidR="00736013" w:rsidRDefault="00736013" w:rsidP="00736013">
      <w:pPr>
        <w:spacing w:after="0"/>
        <w:rPr>
          <w:rFonts w:cs="Calibri"/>
        </w:rPr>
      </w:pPr>
      <w:r>
        <w:rPr>
          <w:rFonts w:cs="Calibri"/>
        </w:rPr>
        <w:t>Salary</w:t>
      </w:r>
    </w:p>
    <w:p w:rsidR="00736013" w:rsidRDefault="0087584E" w:rsidP="00736013">
      <w:pPr>
        <w:spacing w:after="0"/>
        <w:rPr>
          <w:rFonts w:cs="Calibri"/>
        </w:rPr>
      </w:pPr>
      <w:r>
        <w:rPr>
          <w:rFonts w:cs="Calibri"/>
        </w:rPr>
        <w:t>Placement</w:t>
      </w:r>
      <w:r w:rsidR="00736013">
        <w:rPr>
          <w:rFonts w:cs="Calibri"/>
        </w:rPr>
        <w:t xml:space="preserve"> indicator</w:t>
      </w:r>
    </w:p>
    <w:p w:rsidR="00736013" w:rsidRDefault="0087584E" w:rsidP="00736013">
      <w:pPr>
        <w:spacing w:after="0"/>
        <w:rPr>
          <w:rFonts w:cs="Calibri"/>
        </w:rPr>
      </w:pPr>
      <w:r>
        <w:rPr>
          <w:rFonts w:cs="Calibri"/>
        </w:rPr>
        <w:t xml:space="preserve">Placement </w:t>
      </w:r>
      <w:r w:rsidR="00736013">
        <w:rPr>
          <w:rFonts w:cs="Calibri"/>
        </w:rPr>
        <w:t>(time)</w:t>
      </w:r>
    </w:p>
    <w:p w:rsidR="00736013" w:rsidRDefault="00736013" w:rsidP="0087584E">
      <w:pPr>
        <w:spacing w:after="0"/>
        <w:rPr>
          <w:rFonts w:cs="Calibri"/>
        </w:rPr>
      </w:pPr>
      <w:r>
        <w:rPr>
          <w:rFonts w:cs="Calibri"/>
        </w:rPr>
        <w:t xml:space="preserve">Relevance </w:t>
      </w:r>
      <w:r w:rsidR="0087584E">
        <w:rPr>
          <w:rFonts w:cs="Calibri"/>
        </w:rPr>
        <w:t>of course</w:t>
      </w:r>
    </w:p>
    <w:p w:rsidR="00736013" w:rsidRDefault="00736013" w:rsidP="00736013">
      <w:pPr>
        <w:spacing w:after="0"/>
        <w:rPr>
          <w:rFonts w:cs="Calibri"/>
        </w:rPr>
      </w:pPr>
      <w:r>
        <w:rPr>
          <w:rFonts w:cs="Calibri"/>
        </w:rPr>
        <w:t>Need for qualification indicator</w:t>
      </w:r>
    </w:p>
    <w:p w:rsidR="00736013" w:rsidRDefault="00736013" w:rsidP="00736013">
      <w:pPr>
        <w:spacing w:after="0"/>
        <w:rPr>
          <w:rFonts w:cs="Calibri"/>
        </w:rPr>
      </w:pPr>
      <w:r>
        <w:rPr>
          <w:rFonts w:cs="Calibri"/>
        </w:rPr>
        <w:t>Find out about job indicator</w:t>
      </w:r>
    </w:p>
    <w:p w:rsidR="00736013" w:rsidRDefault="00736013" w:rsidP="00736013">
      <w:pPr>
        <w:spacing w:after="0"/>
        <w:rPr>
          <w:rFonts w:cs="Calibri"/>
        </w:rPr>
      </w:pPr>
      <w:r>
        <w:rPr>
          <w:rFonts w:cs="Calibri"/>
        </w:rPr>
        <w:t>Institution (where)</w:t>
      </w:r>
    </w:p>
    <w:p w:rsidR="00736013" w:rsidRDefault="00736013" w:rsidP="00736013">
      <w:pPr>
        <w:spacing w:after="0"/>
        <w:rPr>
          <w:rFonts w:cs="Calibri"/>
        </w:rPr>
      </w:pPr>
      <w:r>
        <w:rPr>
          <w:rFonts w:cs="Calibri"/>
        </w:rPr>
        <w:t>Institution Ireland</w:t>
      </w:r>
    </w:p>
    <w:p w:rsidR="00736013" w:rsidRDefault="00736013" w:rsidP="00736013">
      <w:pPr>
        <w:spacing w:after="0"/>
        <w:rPr>
          <w:rFonts w:cs="Calibri"/>
        </w:rPr>
      </w:pPr>
      <w:r>
        <w:rPr>
          <w:rFonts w:cs="Calibri"/>
        </w:rPr>
        <w:t>Institution overseas</w:t>
      </w:r>
    </w:p>
    <w:p w:rsidR="00736013" w:rsidRDefault="00736013" w:rsidP="00736013">
      <w:pPr>
        <w:spacing w:after="0"/>
        <w:rPr>
          <w:rFonts w:cs="Calibri"/>
        </w:rPr>
      </w:pPr>
      <w:r>
        <w:rPr>
          <w:rFonts w:cs="Calibri"/>
        </w:rPr>
        <w:t>Further institution indicator</w:t>
      </w:r>
    </w:p>
    <w:p w:rsidR="00736013" w:rsidRDefault="00736013" w:rsidP="00736013">
      <w:pPr>
        <w:spacing w:after="0"/>
        <w:rPr>
          <w:rFonts w:cs="Calibri"/>
        </w:rPr>
      </w:pPr>
      <w:r>
        <w:rPr>
          <w:rFonts w:cs="Calibri"/>
        </w:rPr>
        <w:t>Further course name</w:t>
      </w:r>
    </w:p>
    <w:p w:rsidR="00736013" w:rsidRDefault="00736013" w:rsidP="00736013">
      <w:pPr>
        <w:spacing w:after="0"/>
        <w:rPr>
          <w:rFonts w:cs="Calibri"/>
        </w:rPr>
      </w:pPr>
      <w:r>
        <w:rPr>
          <w:rFonts w:cs="Calibri"/>
        </w:rPr>
        <w:t>Further ISCED field of study</w:t>
      </w:r>
    </w:p>
    <w:p w:rsidR="00736013" w:rsidRDefault="00736013" w:rsidP="00736013">
      <w:pPr>
        <w:spacing w:after="0"/>
        <w:rPr>
          <w:rFonts w:cs="Calibri"/>
        </w:rPr>
      </w:pPr>
      <w:r>
        <w:rPr>
          <w:rFonts w:cs="Calibri"/>
        </w:rPr>
        <w:t>Award sought in further study</w:t>
      </w:r>
    </w:p>
    <w:p w:rsidR="00736013" w:rsidRDefault="00736013" w:rsidP="00736013">
      <w:pPr>
        <w:spacing w:after="0"/>
        <w:rPr>
          <w:rFonts w:cs="Calibri"/>
        </w:rPr>
      </w:pPr>
      <w:r>
        <w:rPr>
          <w:rFonts w:cs="Calibri"/>
        </w:rPr>
        <w:t>Further mode of study</w:t>
      </w:r>
    </w:p>
    <w:p w:rsidR="00736013" w:rsidRDefault="00736013" w:rsidP="00736013">
      <w:pPr>
        <w:spacing w:after="0"/>
        <w:rPr>
          <w:rFonts w:cs="Calibri"/>
        </w:rPr>
      </w:pPr>
      <w:r>
        <w:rPr>
          <w:rFonts w:cs="Calibri"/>
        </w:rPr>
        <w:t>Why do further study indicator</w:t>
      </w:r>
    </w:p>
    <w:p w:rsidR="00736013" w:rsidRDefault="00736013" w:rsidP="00736013">
      <w:pPr>
        <w:spacing w:after="0"/>
        <w:rPr>
          <w:rFonts w:cs="Calibri"/>
        </w:rPr>
      </w:pPr>
      <w:r>
        <w:rPr>
          <w:rFonts w:cs="Calibri"/>
        </w:rPr>
        <w:t>Other activity A – unemployment status</w:t>
      </w:r>
    </w:p>
    <w:p w:rsidR="00736013" w:rsidRDefault="00736013" w:rsidP="00736013">
      <w:pPr>
        <w:spacing w:after="0"/>
        <w:rPr>
          <w:rFonts w:cs="Calibri"/>
        </w:rPr>
      </w:pPr>
      <w:r>
        <w:rPr>
          <w:rFonts w:cs="Calibri"/>
        </w:rPr>
        <w:t>Other activity B – other activities</w:t>
      </w:r>
    </w:p>
    <w:p w:rsidR="00736013" w:rsidRDefault="00736013" w:rsidP="00736013">
      <w:pPr>
        <w:spacing w:after="0"/>
        <w:rPr>
          <w:rFonts w:cs="Calibri"/>
        </w:rPr>
      </w:pPr>
      <w:r>
        <w:rPr>
          <w:rFonts w:cs="Calibri"/>
        </w:rPr>
        <w:t>Barriers to employment</w:t>
      </w:r>
    </w:p>
    <w:p w:rsidR="00736013" w:rsidRDefault="0087584E" w:rsidP="00736013">
      <w:pPr>
        <w:spacing w:after="0"/>
        <w:rPr>
          <w:rFonts w:cs="Calibri"/>
        </w:rPr>
      </w:pPr>
      <w:r>
        <w:rPr>
          <w:rFonts w:cs="Calibri"/>
        </w:rPr>
        <w:t>Same course</w:t>
      </w:r>
      <w:r w:rsidR="00736013">
        <w:rPr>
          <w:rFonts w:cs="Calibri"/>
        </w:rPr>
        <w:t xml:space="preserve"> again indicator</w:t>
      </w:r>
    </w:p>
    <w:p w:rsidR="00736013" w:rsidRDefault="00736013" w:rsidP="00736013">
      <w:pPr>
        <w:spacing w:after="0"/>
        <w:rPr>
          <w:rFonts w:cs="Calibri"/>
        </w:rPr>
      </w:pPr>
      <w:r>
        <w:rPr>
          <w:rFonts w:cs="Calibri"/>
        </w:rPr>
        <w:t>Follow up willingness indicator</w:t>
      </w:r>
    </w:p>
    <w:p w:rsidR="00736013" w:rsidRDefault="00736013" w:rsidP="00736013">
      <w:pPr>
        <w:rPr>
          <w:rFonts w:asciiTheme="minorHAnsi" w:hAnsiTheme="minorHAnsi"/>
        </w:rPr>
      </w:pPr>
    </w:p>
    <w:p w:rsidR="00736013" w:rsidRDefault="00736013" w:rsidP="00736013">
      <w:pPr>
        <w:spacing w:after="0" w:line="240" w:lineRule="auto"/>
        <w:jc w:val="both"/>
        <w:rPr>
          <w:szCs w:val="24"/>
        </w:rPr>
      </w:pPr>
      <w:r>
        <w:rPr>
          <w:szCs w:val="24"/>
        </w:rPr>
        <w:t>HEA SRS data and Graduate Outcomes Survey data are linked in the HEA for analysis purposes via Student ID and/or PPSN. Equal Access Survey data received by the HEA are anonymised and are not linked to individual student records in the SRS.</w:t>
      </w:r>
    </w:p>
    <w:p w:rsidR="00736013" w:rsidRDefault="00736013" w:rsidP="00736013">
      <w:pPr>
        <w:rPr>
          <w:lang w:val="en-US"/>
        </w:rPr>
      </w:pPr>
    </w:p>
    <w:p w:rsidR="002245F9" w:rsidRPr="002245F9" w:rsidRDefault="002245F9" w:rsidP="00201E6F">
      <w:pPr>
        <w:jc w:val="both"/>
        <w:rPr>
          <w:rFonts w:asciiTheme="minorHAnsi" w:hAnsiTheme="minorHAnsi"/>
          <w:b/>
          <w:sz w:val="32"/>
          <w:szCs w:val="24"/>
        </w:rPr>
      </w:pPr>
    </w:p>
    <w:sectPr w:rsidR="002245F9" w:rsidRPr="002245F9" w:rsidSect="00783D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32" w:rsidRDefault="00330A32" w:rsidP="00201E6F">
      <w:pPr>
        <w:spacing w:after="0" w:line="240" w:lineRule="auto"/>
      </w:pPr>
      <w:r>
        <w:separator/>
      </w:r>
    </w:p>
  </w:endnote>
  <w:endnote w:type="continuationSeparator" w:id="0">
    <w:p w:rsidR="00330A32" w:rsidRDefault="00330A32" w:rsidP="0020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09" w:rsidRDefault="0063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09" w:rsidRDefault="00631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09" w:rsidRDefault="0063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32" w:rsidRDefault="00330A32" w:rsidP="00201E6F">
      <w:pPr>
        <w:spacing w:after="0" w:line="240" w:lineRule="auto"/>
      </w:pPr>
      <w:r>
        <w:separator/>
      </w:r>
    </w:p>
  </w:footnote>
  <w:footnote w:type="continuationSeparator" w:id="0">
    <w:p w:rsidR="00330A32" w:rsidRDefault="00330A32" w:rsidP="0020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09" w:rsidRDefault="0063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CD" w:rsidRDefault="00A066CD" w:rsidP="00A066CD">
    <w:pPr>
      <w:pStyle w:val="Header"/>
      <w:jc w:val="right"/>
    </w:pPr>
    <w:r>
      <w:rPr>
        <w:noProof/>
        <w:lang w:eastAsia="en-IE"/>
      </w:rPr>
      <w:drawing>
        <wp:inline distT="0" distB="0" distL="0" distR="0" wp14:anchorId="7184E2C8" wp14:editId="11FCFDE2">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A066CD" w:rsidRDefault="00A06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509" w:rsidRDefault="0063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F21"/>
    <w:multiLevelType w:val="hybridMultilevel"/>
    <w:tmpl w:val="8EB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93B66"/>
    <w:multiLevelType w:val="hybridMultilevel"/>
    <w:tmpl w:val="D26E51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F116727"/>
    <w:multiLevelType w:val="hybridMultilevel"/>
    <w:tmpl w:val="B4D27C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5CD6505"/>
    <w:multiLevelType w:val="hybridMultilevel"/>
    <w:tmpl w:val="7D441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D2461B"/>
    <w:multiLevelType w:val="hybridMultilevel"/>
    <w:tmpl w:val="7DE8D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5C23A3"/>
    <w:multiLevelType w:val="hybridMultilevel"/>
    <w:tmpl w:val="BD3C1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B364690"/>
    <w:multiLevelType w:val="hybridMultilevel"/>
    <w:tmpl w:val="AA728BE4"/>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6F"/>
    <w:rsid w:val="00132F3E"/>
    <w:rsid w:val="00201E6F"/>
    <w:rsid w:val="002245F9"/>
    <w:rsid w:val="002F6169"/>
    <w:rsid w:val="00330A32"/>
    <w:rsid w:val="00631509"/>
    <w:rsid w:val="00721F03"/>
    <w:rsid w:val="00736013"/>
    <w:rsid w:val="00783A81"/>
    <w:rsid w:val="0087584E"/>
    <w:rsid w:val="009E58BF"/>
    <w:rsid w:val="00A066CD"/>
    <w:rsid w:val="00A53E01"/>
    <w:rsid w:val="00DA2FCC"/>
    <w:rsid w:val="00DE57C1"/>
    <w:rsid w:val="00E70800"/>
    <w:rsid w:val="00F21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5B717"/>
  <w15:docId w15:val="{C5ED4641-F461-40A3-9612-ED1616F1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E6F"/>
    <w:rPr>
      <w:rFonts w:ascii="Calibri" w:hAnsi="Calibri"/>
      <w:sz w:val="24"/>
    </w:rPr>
  </w:style>
  <w:style w:type="paragraph" w:styleId="Heading1">
    <w:name w:val="heading 1"/>
    <w:basedOn w:val="Normal"/>
    <w:next w:val="Normal"/>
    <w:link w:val="Heading1Char"/>
    <w:uiPriority w:val="9"/>
    <w:qFormat/>
    <w:rsid w:val="002245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013"/>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6F"/>
    <w:pPr>
      <w:ind w:left="720"/>
      <w:contextualSpacing/>
    </w:pPr>
    <w:rPr>
      <w:rFonts w:asciiTheme="minorHAnsi" w:hAnsiTheme="minorHAnsi"/>
      <w:sz w:val="22"/>
    </w:rPr>
  </w:style>
  <w:style w:type="paragraph" w:styleId="Header">
    <w:name w:val="header"/>
    <w:basedOn w:val="Normal"/>
    <w:link w:val="HeaderChar"/>
    <w:uiPriority w:val="99"/>
    <w:unhideWhenUsed/>
    <w:rsid w:val="0020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6F"/>
    <w:rPr>
      <w:rFonts w:ascii="Calibri" w:hAnsi="Calibri"/>
      <w:sz w:val="24"/>
    </w:rPr>
  </w:style>
  <w:style w:type="paragraph" w:styleId="Footer">
    <w:name w:val="footer"/>
    <w:basedOn w:val="Normal"/>
    <w:link w:val="FooterChar"/>
    <w:uiPriority w:val="99"/>
    <w:unhideWhenUsed/>
    <w:rsid w:val="0020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6F"/>
    <w:rPr>
      <w:rFonts w:ascii="Calibri" w:hAnsi="Calibri"/>
      <w:sz w:val="24"/>
    </w:rPr>
  </w:style>
  <w:style w:type="character" w:customStyle="1" w:styleId="Heading1Char">
    <w:name w:val="Heading 1 Char"/>
    <w:basedOn w:val="DefaultParagraphFont"/>
    <w:link w:val="Heading1"/>
    <w:uiPriority w:val="9"/>
    <w:rsid w:val="002245F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24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5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3601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736013"/>
    <w:rPr>
      <w:color w:val="0000FF" w:themeColor="hyperlink"/>
      <w:u w:val="single"/>
    </w:rPr>
  </w:style>
  <w:style w:type="table" w:customStyle="1" w:styleId="TableGrid1">
    <w:name w:val="Table Grid1"/>
    <w:basedOn w:val="TableNormal"/>
    <w:uiPriority w:val="39"/>
    <w:rsid w:val="00736013"/>
    <w:pPr>
      <w:spacing w:after="0" w:line="240" w:lineRule="auto"/>
    </w:pPr>
    <w:rPr>
      <w:rFonts w:ascii="Corbel" w:eastAsia="Times New Roman" w:hAnsi="Corbel"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a.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hea.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hea.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ataprotectio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hea.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vpatterson</dc:creator>
  <cp:keywords/>
  <dc:description/>
  <cp:lastModifiedBy>Valerie Harvey</cp:lastModifiedBy>
  <cp:revision>8</cp:revision>
  <cp:lastPrinted>2013-06-20T11:00:00Z</cp:lastPrinted>
  <dcterms:created xsi:type="dcterms:W3CDTF">2018-11-09T11:35:00Z</dcterms:created>
  <dcterms:modified xsi:type="dcterms:W3CDTF">2018-11-14T08:54:00Z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dfrawley@hea.ie</vt:lpwstr>
  </property>
  <property fmtid="{D5CDD505-2E9C-101B-9397-08002B2CF9AE}" pid="5" name="MSIP_Label_86a2108b-8015-45b4-a03b-cf4c4afb0df7_SetDate">
    <vt:lpwstr>2018-11-09T11:28:03.6988825Z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